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386142">
        <w:rPr>
          <w:rFonts w:ascii="CG Omega" w:hAnsi="CG Omega"/>
          <w:b/>
        </w:rPr>
        <w:t>May 19</w:t>
      </w:r>
      <w:r w:rsidR="00B41D88">
        <w:rPr>
          <w:rFonts w:ascii="CG Omega" w:hAnsi="CG Omega"/>
          <w:b/>
        </w:rPr>
        <w:t>, 2014</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Monday, </w:t>
      </w:r>
      <w:r w:rsidR="00073CB5">
        <w:rPr>
          <w:rFonts w:ascii="CG Omega" w:hAnsi="CG Omega"/>
        </w:rPr>
        <w:t>May 19</w:t>
      </w:r>
      <w:r w:rsidR="00B41D88">
        <w:rPr>
          <w:rFonts w:ascii="CG Omega" w:hAnsi="CG Omega"/>
        </w:rPr>
        <w:t>, 2014</w:t>
      </w:r>
      <w:r w:rsidRPr="00C13D54">
        <w:rPr>
          <w:rFonts w:ascii="CG Omega" w:hAnsi="CG Omega"/>
        </w:rPr>
        <w:t xml:space="preserve"> in the Haw River Municipal Building at </w:t>
      </w:r>
      <w:r w:rsidR="00073CB5">
        <w:rPr>
          <w:rFonts w:ascii="CG Omega" w:hAnsi="CG Omega"/>
        </w:rPr>
        <w:t>7</w:t>
      </w:r>
      <w:r w:rsidR="00664F8A">
        <w:rPr>
          <w:rFonts w:ascii="CG Omega" w:hAnsi="CG Omega"/>
        </w:rPr>
        <w:t>:</w:t>
      </w:r>
      <w:r w:rsidR="00B41D88">
        <w:rPr>
          <w:rFonts w:ascii="CG Omega" w:hAnsi="CG Omega"/>
        </w:rPr>
        <w:t>0</w:t>
      </w:r>
      <w:r w:rsidR="00664F8A">
        <w:rPr>
          <w:rFonts w:ascii="CG Omega" w:hAnsi="CG Omega"/>
        </w:rPr>
        <w:t>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664F8A">
        <w:rPr>
          <w:rFonts w:ascii="CG Omega" w:hAnsi="CG Omega"/>
        </w:rPr>
        <w:t xml:space="preserve">Jeff Fogleman, </w:t>
      </w:r>
      <w:r w:rsidR="00BC7D23">
        <w:rPr>
          <w:rFonts w:ascii="CG Omega" w:hAnsi="CG Omega"/>
        </w:rPr>
        <w:t>Kelly Allen,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B41D88">
        <w:rPr>
          <w:rFonts w:ascii="CG Omega" w:hAnsi="CG Omega"/>
        </w:rPr>
        <w:t>n/a</w:t>
      </w:r>
      <w:proofErr w:type="gramEnd"/>
    </w:p>
    <w:p w:rsidR="00D57F0C" w:rsidRDefault="00D57F0C" w:rsidP="00D57F0C">
      <w:pPr>
        <w:rPr>
          <w:rFonts w:ascii="CG Omega" w:hAnsi="CG Omega"/>
        </w:rPr>
      </w:pPr>
      <w:r w:rsidRPr="00C13D54">
        <w:rPr>
          <w:rFonts w:ascii="CG Omega" w:hAnsi="CG Omega"/>
        </w:rPr>
        <w:t>Also Present: Manager Jeff Earp, Clerk Melanie Hamilton</w:t>
      </w:r>
    </w:p>
    <w:p w:rsidR="00664F8A" w:rsidRPr="00C13D54" w:rsidRDefault="00664F8A" w:rsidP="00D57F0C">
      <w:pPr>
        <w:rPr>
          <w:rFonts w:ascii="CG Omega" w:hAnsi="CG Omega"/>
        </w:rPr>
      </w:pPr>
    </w:p>
    <w:p w:rsidR="00073CB5"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073CB5">
        <w:rPr>
          <w:rFonts w:ascii="CG Omega" w:hAnsi="CG Omega"/>
        </w:rPr>
        <w:t>7</w:t>
      </w:r>
      <w:r w:rsidR="00B41D88">
        <w:rPr>
          <w:rFonts w:ascii="CG Omega" w:hAnsi="CG Omega"/>
        </w:rPr>
        <w:t>:0</w:t>
      </w:r>
      <w:r w:rsidR="00664F8A">
        <w:rPr>
          <w:rFonts w:ascii="CG Omega" w:hAnsi="CG Omega"/>
        </w:rPr>
        <w:t>0</w:t>
      </w:r>
      <w:r w:rsidRPr="00C13D54">
        <w:rPr>
          <w:rFonts w:ascii="CG Omega" w:hAnsi="CG Omega"/>
        </w:rPr>
        <w:t xml:space="preserve"> pm</w:t>
      </w:r>
      <w:r w:rsidR="00073CB5">
        <w:rPr>
          <w:rFonts w:ascii="CG Omega" w:hAnsi="CG Omega"/>
        </w:rPr>
        <w:t xml:space="preserve"> and Manager Earp made the following budget presentation to the Town Council:</w:t>
      </w:r>
    </w:p>
    <w:p w:rsidR="00B41D88" w:rsidRDefault="00B41D88" w:rsidP="00952205">
      <w:pPr>
        <w:outlineLvl w:val="0"/>
        <w:rPr>
          <w:rFonts w:ascii="CG Omega" w:hAnsi="CG Omega"/>
        </w:rPr>
      </w:pPr>
    </w:p>
    <w:p w:rsidR="00073CB5" w:rsidRPr="00020CA0" w:rsidRDefault="00073CB5" w:rsidP="00073CB5">
      <w:pPr>
        <w:pStyle w:val="Pa5"/>
        <w:outlineLvl w:val="0"/>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To the Honorable Mayor and Town Council Members,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rPr>
          <w:sz w:val="26"/>
          <w:szCs w:val="26"/>
        </w:rPr>
      </w:pPr>
      <w:r w:rsidRPr="00020CA0">
        <w:rPr>
          <w:sz w:val="26"/>
          <w:szCs w:val="26"/>
        </w:rPr>
        <w:t>On behalf of the Town of Haw River staff, I am pleased to present to you the fiscal plan for FY 2014-2015. The budget is in balance and has been prepared in accordance with the guidelines set forth in the Local Government Budget and Fiscal Control Act (N.C.G.S. Chapter 159, Article III).  A public hearing of the FY 2014-15 Budget will be scheduled at the Council’s regular meeting on June 2, 2014 at 7:00 p.m. A copy of this budget document will be placed on file with the Town Clerk and will be available for public inspection during normal business hours from now until the June 2, 2014 public hearing. Balancing this budget has been a very long and arduous task which has resulted in a document which continues to meet the Towns’ basic needs in the critical service areas and addresses a few of the various capital improvement needs currently facing the Town. The budget does not, however, provide all of the funds necessary for the capital needs within the Town of Haw River. The staff and I look forward to working with each of you to implement this budget and to continue our service to the fine citizens of</w:t>
      </w:r>
      <w:r w:rsidR="00853AEC">
        <w:rPr>
          <w:sz w:val="26"/>
          <w:szCs w:val="26"/>
        </w:rPr>
        <w:t xml:space="preserve"> the</w:t>
      </w:r>
      <w:r w:rsidRPr="00020CA0">
        <w:rPr>
          <w:sz w:val="26"/>
          <w:szCs w:val="26"/>
        </w:rPr>
        <w:t xml:space="preserve"> Town of Haw River.</w:t>
      </w:r>
    </w:p>
    <w:p w:rsidR="00073CB5" w:rsidRPr="00020CA0" w:rsidRDefault="00073CB5" w:rsidP="00073CB5">
      <w:pPr>
        <w:pStyle w:val="Pa5"/>
        <w:rPr>
          <w:rFonts w:ascii="Times New Roman" w:eastAsia="Times New Roman" w:hAnsi="Times New Roman" w:cs="Times New Roman"/>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We will</w:t>
      </w:r>
      <w:r>
        <w:rPr>
          <w:rFonts w:ascii="Times New Roman" w:eastAsia="Times New Roman" w:hAnsi="Times New Roman" w:cs="Times New Roman"/>
          <w:sz w:val="28"/>
          <w:szCs w:val="28"/>
        </w:rPr>
        <w:t xml:space="preserve"> b</w:t>
      </w:r>
      <w:r w:rsidRPr="00020CA0">
        <w:rPr>
          <w:rFonts w:ascii="Times New Roman" w:eastAsia="Times New Roman" w:hAnsi="Times New Roman" w:cs="Times New Roman"/>
          <w:sz w:val="26"/>
          <w:szCs w:val="26"/>
        </w:rPr>
        <w:t xml:space="preserve">e confronted with challenges next fiscal year that will impact the way we do the business of the Town.  To combat these challenges we have reduced operating cost within our control, eliminated many capital purchases, and delayed some facility upgrades.  While we will be able to survive those cuts, we now find ourselves facing a major increase in funding to address these needs in the next few years. </w:t>
      </w: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lastRenderedPageBreak/>
        <w:t xml:space="preserve">The Town’s General Fund Budget is also facing revenue loss for the Town with the proposed State Legislation to eliminate or cap the privilege license fees which </w:t>
      </w:r>
      <w:r>
        <w:rPr>
          <w:rFonts w:ascii="Times New Roman" w:eastAsia="Times New Roman" w:hAnsi="Times New Roman" w:cs="Times New Roman"/>
          <w:sz w:val="26"/>
          <w:szCs w:val="26"/>
        </w:rPr>
        <w:t>brought in approximately $19,500.00 in this fiscal year</w:t>
      </w:r>
      <w:r w:rsidRPr="00020CA0">
        <w:rPr>
          <w:rFonts w:ascii="Times New Roman" w:eastAsia="Times New Roman" w:hAnsi="Times New Roman" w:cs="Times New Roman"/>
          <w:sz w:val="26"/>
          <w:szCs w:val="26"/>
        </w:rPr>
        <w:t xml:space="preserve"> and a proposal that would cap the Towns ability to levy Property Tax. The Town is also effected by a lower Ad valorem tax collection rate by the county which is projected around 96% while the State average is around 98% resulting in deferred revenue o</w:t>
      </w:r>
      <w:r>
        <w:rPr>
          <w:rFonts w:ascii="Times New Roman" w:eastAsia="Times New Roman" w:hAnsi="Times New Roman" w:cs="Times New Roman"/>
          <w:sz w:val="26"/>
          <w:szCs w:val="26"/>
        </w:rPr>
        <w:t>f</w:t>
      </w:r>
      <w:r w:rsidRPr="00020CA0">
        <w:rPr>
          <w:rFonts w:ascii="Times New Roman" w:eastAsia="Times New Roman" w:hAnsi="Times New Roman" w:cs="Times New Roman"/>
          <w:sz w:val="26"/>
          <w:szCs w:val="26"/>
        </w:rPr>
        <w:t xml:space="preserve"> approximately $19,000 annually.  In the last two years we have lost Sales Tax revenues and have deferred Ad Valorem revenues in excess of $132,000, which equates to almost 7% of the general fund budget or almost 9 cents of the ad valorem tax rate. A major challenge this year was major medical insurance coverage for </w:t>
      </w:r>
      <w:r>
        <w:rPr>
          <w:rFonts w:ascii="Times New Roman" w:eastAsia="Times New Roman" w:hAnsi="Times New Roman" w:cs="Times New Roman"/>
          <w:sz w:val="26"/>
          <w:szCs w:val="26"/>
        </w:rPr>
        <w:t>employees and retirees</w:t>
      </w:r>
      <w:r w:rsidRPr="00020CA0">
        <w:rPr>
          <w:rFonts w:ascii="Times New Roman" w:eastAsia="Times New Roman" w:hAnsi="Times New Roman" w:cs="Times New Roman"/>
          <w:sz w:val="26"/>
          <w:szCs w:val="26"/>
        </w:rPr>
        <w:t xml:space="preserve">. The Town originally was facing a 14.0% increase in premiums, which equated to an increase of approximately $27,000. By changing insurance vendors and tweaking our insurance plan, the Town was able to </w:t>
      </w:r>
      <w:r>
        <w:rPr>
          <w:rFonts w:ascii="Times New Roman" w:eastAsia="Times New Roman" w:hAnsi="Times New Roman" w:cs="Times New Roman"/>
          <w:sz w:val="26"/>
          <w:szCs w:val="26"/>
        </w:rPr>
        <w:t>eliminate</w:t>
      </w:r>
      <w:r w:rsidRPr="00020CA0">
        <w:rPr>
          <w:rFonts w:ascii="Times New Roman" w:eastAsia="Times New Roman" w:hAnsi="Times New Roman" w:cs="Times New Roman"/>
          <w:sz w:val="26"/>
          <w:szCs w:val="26"/>
        </w:rPr>
        <w:t xml:space="preserve"> all but $6,000 of those costs. The General fund also had to incur increases in service cost where the Town depends on other third party entities to provide services such as Burlington for Animal Control and Shelter services, Harris Computer Systems our financial software provider and support and Alamance County 911 that provides dispatch services for town.  All total those cost increased approximately $7400.00. </w:t>
      </w:r>
    </w:p>
    <w:p w:rsidR="00073CB5" w:rsidRPr="00020CA0" w:rsidRDefault="00073CB5" w:rsidP="00073CB5">
      <w:pPr>
        <w:pStyle w:val="Pa5"/>
        <w:rPr>
          <w:rFonts w:ascii="Times New Roman" w:eastAsia="Times New Roman" w:hAnsi="Times New Roman" w:cs="Times New Roman"/>
          <w:sz w:val="26"/>
          <w:szCs w:val="26"/>
        </w:rPr>
      </w:pPr>
    </w:p>
    <w:p w:rsidR="00073CB5" w:rsidRPr="00020CA0" w:rsidRDefault="00073CB5" w:rsidP="00073CB5">
      <w:pPr>
        <w:pStyle w:val="Default"/>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t xml:space="preserve">The Water and Sewer revenues have been greatly impacted because of inflow and infiltration into our system due to the large volume of rain, snow and ice received over the last year.  The staff is also working to inspect and correct as many I &amp; I problems as we can identify.  Staff is also working diligently to identify, apply for and acquire funding to do major rehabilitation to our sewer system.  We are also experiencing reduced water sales which adversely affect revenues.  The Water and Sewer Budget reflects a 4% increase in rates which is a result of Burlington increasing their rate to us.  Other than the 4% increase for Burlington, the Water and Sewer budgets remains constant. Per our loan conditions with USDA, we have budgeted for the 2015 loan payment and have put the required reserve payment in the budget. The Staff and I are also preparing for the loss of revenue from Green Level when their line to Burlington is complete.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Default"/>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t>In regards to the Powell Bill fund we are seeing a slight increase in revenues and expenses are remaining constant as we prepare to address street and sidewalk needs.</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Default"/>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t xml:space="preserve">The </w:t>
      </w:r>
      <w:proofErr w:type="spellStart"/>
      <w:r w:rsidRPr="00020CA0">
        <w:rPr>
          <w:rFonts w:ascii="Times New Roman" w:eastAsia="Times New Roman" w:hAnsi="Times New Roman" w:cs="Times New Roman"/>
          <w:color w:val="auto"/>
          <w:sz w:val="26"/>
          <w:szCs w:val="26"/>
        </w:rPr>
        <w:t>Stormwater</w:t>
      </w:r>
      <w:proofErr w:type="spellEnd"/>
      <w:r w:rsidRPr="00020CA0">
        <w:rPr>
          <w:rFonts w:ascii="Times New Roman" w:eastAsia="Times New Roman" w:hAnsi="Times New Roman" w:cs="Times New Roman"/>
          <w:color w:val="auto"/>
          <w:sz w:val="26"/>
          <w:szCs w:val="26"/>
        </w:rPr>
        <w:t xml:space="preserve"> fund remains the same and we are preparing to begin the post construction work to comply with the Jordan Lake rules in 2017.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This budget recommends that the tax rate remain steady at $.48/$100 valuation. The loss of revenue is reflected in the lack of funding for capital purchases and capital projects. Additionally, this budget reflects an increase of 4% in water/sewer rates and is in direct correlation to an increase in costs from the City </w:t>
      </w:r>
      <w:r w:rsidRPr="00020CA0">
        <w:rPr>
          <w:rFonts w:ascii="Times New Roman" w:eastAsia="Times New Roman" w:hAnsi="Times New Roman" w:cs="Times New Roman"/>
          <w:sz w:val="26"/>
          <w:szCs w:val="26"/>
        </w:rPr>
        <w:lastRenderedPageBreak/>
        <w:t xml:space="preserve">of Burlington.  This budget has no recommendation for salary increases to the Town staff. </w:t>
      </w:r>
    </w:p>
    <w:p w:rsidR="00073CB5" w:rsidRPr="00020CA0" w:rsidRDefault="00073CB5" w:rsidP="00073CB5">
      <w:pPr>
        <w:pStyle w:val="Default"/>
        <w:rPr>
          <w:sz w:val="26"/>
          <w:szCs w:val="26"/>
        </w:rPr>
      </w:pPr>
    </w:p>
    <w:p w:rsidR="00073CB5" w:rsidRPr="00020CA0" w:rsidRDefault="00073CB5" w:rsidP="00073CB5">
      <w:pPr>
        <w:pStyle w:val="Default"/>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t>The department heads did an excellent job in preparing their budget recommendations and prioritizing items and issues that were important to their departments.  As you will note some of their recommendations were funded and others were not able to be funded at this time.</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This budget was prepared </w:t>
      </w:r>
      <w:r>
        <w:rPr>
          <w:rFonts w:ascii="Times New Roman" w:eastAsia="Times New Roman" w:hAnsi="Times New Roman" w:cs="Times New Roman"/>
          <w:sz w:val="26"/>
          <w:szCs w:val="26"/>
        </w:rPr>
        <w:t xml:space="preserve">based on </w:t>
      </w:r>
      <w:r w:rsidRPr="00020CA0">
        <w:rPr>
          <w:rFonts w:ascii="Times New Roman" w:eastAsia="Times New Roman" w:hAnsi="Times New Roman" w:cs="Times New Roman"/>
          <w:sz w:val="26"/>
          <w:szCs w:val="26"/>
        </w:rPr>
        <w:t>citizen requests</w:t>
      </w:r>
      <w:r>
        <w:rPr>
          <w:rFonts w:ascii="Times New Roman" w:eastAsia="Times New Roman" w:hAnsi="Times New Roman" w:cs="Times New Roman"/>
          <w:sz w:val="26"/>
          <w:szCs w:val="26"/>
        </w:rPr>
        <w:t xml:space="preserve"> and </w:t>
      </w:r>
      <w:r w:rsidRPr="00020CA0">
        <w:rPr>
          <w:rFonts w:ascii="Times New Roman" w:eastAsia="Times New Roman" w:hAnsi="Times New Roman" w:cs="Times New Roman"/>
          <w:sz w:val="26"/>
          <w:szCs w:val="26"/>
        </w:rPr>
        <w:t xml:space="preserve">objectives for the town, council’s objectives, and department head objectives have been taken into consideration. I am indebted to the employees and council members who sent me their suggestions on budget efficiencies.  As your Manager, I am committed to sustaining the important financial reforms that have restored the stability and credibility of our town. Whatever circumstances we face, be assured that I will lead this Town in a fiscally responsible way and keep my pact with the citizens and Council to put their interests before all others.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I present this document, the Towns Proposed Budget for Fiscal Year 2014-2015, in the strong belief that it provides the surest path to overcoming the Town’s financial challenges, and that it respects both the interests of the taxpayers and our responsibility to future generations.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With the adoption of the 2014-2015 </w:t>
      </w:r>
      <w:proofErr w:type="gramStart"/>
      <w:r w:rsidRPr="00020CA0">
        <w:rPr>
          <w:rFonts w:ascii="Times New Roman" w:eastAsia="Times New Roman" w:hAnsi="Times New Roman" w:cs="Times New Roman"/>
          <w:sz w:val="26"/>
          <w:szCs w:val="26"/>
        </w:rPr>
        <w:t>budget</w:t>
      </w:r>
      <w:proofErr w:type="gramEnd"/>
      <w:r w:rsidRPr="00020CA0">
        <w:rPr>
          <w:rFonts w:ascii="Times New Roman" w:eastAsia="Times New Roman" w:hAnsi="Times New Roman" w:cs="Times New Roman"/>
          <w:sz w:val="26"/>
          <w:szCs w:val="26"/>
        </w:rPr>
        <w:t xml:space="preserve">, the Town will accomplish these important goals: </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Default"/>
        <w:spacing w:line="221" w:lineRule="atLeast"/>
        <w:ind w:left="440" w:hanging="440"/>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t xml:space="preserve">1) Safeguard our essential core services, including police and fire, streets and water &amp; sewer; </w:t>
      </w:r>
    </w:p>
    <w:p w:rsidR="00073CB5" w:rsidRPr="00020CA0" w:rsidRDefault="00073CB5" w:rsidP="00073CB5">
      <w:pPr>
        <w:pStyle w:val="Pa7"/>
        <w:spacing w:before="200"/>
        <w:ind w:left="440" w:hanging="440"/>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2) Reduce risk to the taxpayers by repairing the town’s assets; </w:t>
      </w:r>
    </w:p>
    <w:p w:rsidR="00073CB5" w:rsidRPr="00020CA0" w:rsidRDefault="00073CB5" w:rsidP="00073CB5">
      <w:pPr>
        <w:pStyle w:val="Pa7"/>
        <w:spacing w:before="200"/>
        <w:ind w:left="440" w:hanging="440"/>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3) Close a projected General Fund budget deficit, without cutting services or reducing services at our Recreation and Parks Facilities; </w:t>
      </w:r>
    </w:p>
    <w:p w:rsidR="00073CB5" w:rsidRPr="00020CA0" w:rsidRDefault="00073CB5" w:rsidP="00073CB5">
      <w:pPr>
        <w:pStyle w:val="Pa7"/>
        <w:spacing w:before="200"/>
        <w:ind w:left="440" w:hanging="440"/>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4) </w:t>
      </w:r>
      <w:proofErr w:type="gramStart"/>
      <w:r w:rsidRPr="00020CA0">
        <w:rPr>
          <w:rFonts w:ascii="Times New Roman" w:eastAsia="Times New Roman" w:hAnsi="Times New Roman" w:cs="Times New Roman"/>
          <w:sz w:val="26"/>
          <w:szCs w:val="26"/>
        </w:rPr>
        <w:t>Recognize</w:t>
      </w:r>
      <w:proofErr w:type="gramEnd"/>
      <w:r w:rsidRPr="00020CA0">
        <w:rPr>
          <w:rFonts w:ascii="Times New Roman" w:eastAsia="Times New Roman" w:hAnsi="Times New Roman" w:cs="Times New Roman"/>
          <w:sz w:val="26"/>
          <w:szCs w:val="26"/>
        </w:rPr>
        <w:t xml:space="preserve"> that economic cycles cannot halt our progress, by planning for our future;</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Pa5"/>
        <w:rPr>
          <w:rFonts w:ascii="Times New Roman" w:eastAsia="Times New Roman" w:hAnsi="Times New Roman" w:cs="Times New Roman"/>
          <w:sz w:val="26"/>
          <w:szCs w:val="26"/>
        </w:rPr>
      </w:pPr>
      <w:r w:rsidRPr="00020CA0">
        <w:rPr>
          <w:rFonts w:ascii="Times New Roman" w:eastAsia="Times New Roman" w:hAnsi="Times New Roman" w:cs="Times New Roman"/>
          <w:sz w:val="26"/>
          <w:szCs w:val="26"/>
        </w:rPr>
        <w:t xml:space="preserve">It is my intent that this budget will accomplish these goals despite our increasing financial obligations and state legislation that has lowered revenue growth. To do so, however, we have had to make tough choices, especially when deciding how to reduce the ever-widening portion of our budget that is devoted to compensation, benefits, and retirement costs.  It will also mean exploring new options and ways to accomplish our tasks at hand.  </w:t>
      </w:r>
    </w:p>
    <w:p w:rsidR="00073CB5"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pStyle w:val="Default"/>
        <w:rPr>
          <w:rFonts w:ascii="Times New Roman" w:eastAsia="Times New Roman" w:hAnsi="Times New Roman" w:cs="Times New Roman"/>
          <w:color w:val="auto"/>
          <w:sz w:val="26"/>
          <w:szCs w:val="26"/>
        </w:rPr>
      </w:pPr>
      <w:r w:rsidRPr="00020CA0">
        <w:rPr>
          <w:rFonts w:ascii="Times New Roman" w:eastAsia="Times New Roman" w:hAnsi="Times New Roman" w:cs="Times New Roman"/>
          <w:color w:val="auto"/>
          <w:sz w:val="26"/>
          <w:szCs w:val="26"/>
        </w:rPr>
        <w:lastRenderedPageBreak/>
        <w:t>This proposed budget by no means meets all of the “wants and needs” of the parties involved, but I feel the immediate needs of the Town are efficiently met.</w:t>
      </w:r>
    </w:p>
    <w:p w:rsidR="00073CB5" w:rsidRPr="00020CA0" w:rsidRDefault="00073CB5" w:rsidP="00073CB5">
      <w:pPr>
        <w:pStyle w:val="Default"/>
        <w:rPr>
          <w:rFonts w:ascii="Times New Roman" w:eastAsia="Times New Roman" w:hAnsi="Times New Roman" w:cs="Times New Roman"/>
          <w:color w:val="auto"/>
          <w:sz w:val="26"/>
          <w:szCs w:val="26"/>
        </w:rPr>
      </w:pPr>
    </w:p>
    <w:p w:rsidR="00073CB5" w:rsidRPr="00020CA0" w:rsidRDefault="00073CB5" w:rsidP="00073CB5">
      <w:pPr>
        <w:jc w:val="both"/>
        <w:rPr>
          <w:b/>
          <w:sz w:val="26"/>
          <w:szCs w:val="26"/>
          <w:u w:val="single"/>
        </w:rPr>
      </w:pPr>
      <w:r w:rsidRPr="00020CA0">
        <w:rPr>
          <w:b/>
          <w:sz w:val="26"/>
          <w:szCs w:val="26"/>
          <w:u w:val="single"/>
        </w:rPr>
        <w:t>Budget Overview</w:t>
      </w:r>
    </w:p>
    <w:p w:rsidR="00073CB5" w:rsidRPr="00020CA0" w:rsidRDefault="00073CB5" w:rsidP="00073CB5">
      <w:pPr>
        <w:rPr>
          <w:sz w:val="26"/>
          <w:szCs w:val="26"/>
        </w:rPr>
      </w:pPr>
      <w:r w:rsidRPr="00020CA0">
        <w:rPr>
          <w:sz w:val="26"/>
          <w:szCs w:val="26"/>
        </w:rPr>
        <w:t>The total projected budget is $3,808,310.00, which is approximately a 3.28% increase over our current operating budget ($3,687,238.00), and consists of:  General Fund - $1,906,040.00 (2.4% more than the current $1,860,738.00); Water and Sewer - $1,816,270.00 (5.75% more than the current $1,717,500.00); Powell Bill fund $63,500.00 (27.01% less than the current $87,000). Storm Water fund $22,500 which reflects a $500.00 increase over the current budget.</w:t>
      </w:r>
    </w:p>
    <w:p w:rsidR="00073CB5" w:rsidRPr="00020CA0" w:rsidRDefault="00073CB5" w:rsidP="00073CB5">
      <w:pPr>
        <w:jc w:val="both"/>
        <w:rPr>
          <w:sz w:val="26"/>
          <w:szCs w:val="26"/>
        </w:rPr>
      </w:pPr>
    </w:p>
    <w:p w:rsidR="00073CB5" w:rsidRPr="00020CA0" w:rsidRDefault="00073CB5" w:rsidP="00073CB5">
      <w:pPr>
        <w:jc w:val="both"/>
        <w:rPr>
          <w:sz w:val="26"/>
          <w:szCs w:val="26"/>
        </w:rPr>
      </w:pPr>
      <w:r w:rsidRPr="00020CA0">
        <w:rPr>
          <w:sz w:val="26"/>
          <w:szCs w:val="26"/>
        </w:rPr>
        <w:t>This budget includes the following debt service expenditures:</w:t>
      </w:r>
    </w:p>
    <w:p w:rsidR="00073CB5" w:rsidRPr="00020CA0" w:rsidRDefault="00073CB5" w:rsidP="00073CB5">
      <w:pPr>
        <w:jc w:val="both"/>
        <w:rPr>
          <w:sz w:val="26"/>
          <w:szCs w:val="26"/>
        </w:rPr>
      </w:pPr>
      <w:r w:rsidRPr="00020CA0">
        <w:rPr>
          <w:sz w:val="26"/>
          <w:szCs w:val="26"/>
        </w:rPr>
        <w:t xml:space="preserve"> Fire Department Truck payment</w:t>
      </w:r>
      <w:r w:rsidRPr="00020CA0">
        <w:rPr>
          <w:sz w:val="26"/>
          <w:szCs w:val="26"/>
        </w:rPr>
        <w:tab/>
      </w:r>
      <w:r w:rsidRPr="00020CA0">
        <w:rPr>
          <w:sz w:val="26"/>
          <w:szCs w:val="26"/>
        </w:rPr>
        <w:tab/>
      </w:r>
      <w:r>
        <w:rPr>
          <w:sz w:val="26"/>
          <w:szCs w:val="26"/>
        </w:rPr>
        <w:tab/>
      </w:r>
      <w:r w:rsidRPr="00020CA0">
        <w:rPr>
          <w:sz w:val="26"/>
          <w:szCs w:val="26"/>
        </w:rPr>
        <w:t>$ 47,574</w:t>
      </w:r>
    </w:p>
    <w:p w:rsidR="00073CB5" w:rsidRPr="00020CA0" w:rsidRDefault="00073CB5" w:rsidP="00073CB5">
      <w:pPr>
        <w:jc w:val="both"/>
        <w:rPr>
          <w:sz w:val="26"/>
          <w:szCs w:val="26"/>
        </w:rPr>
      </w:pPr>
      <w:r w:rsidRPr="00020CA0">
        <w:rPr>
          <w:sz w:val="26"/>
          <w:szCs w:val="26"/>
        </w:rPr>
        <w:t xml:space="preserve"> Police Cars</w:t>
      </w:r>
      <w:r w:rsidRPr="00020CA0">
        <w:rPr>
          <w:sz w:val="26"/>
          <w:szCs w:val="26"/>
        </w:rPr>
        <w:tab/>
      </w:r>
      <w:r w:rsidRPr="00020CA0">
        <w:rPr>
          <w:sz w:val="26"/>
          <w:szCs w:val="26"/>
        </w:rPr>
        <w:tab/>
      </w:r>
      <w:r w:rsidRPr="00020CA0">
        <w:rPr>
          <w:sz w:val="26"/>
          <w:szCs w:val="26"/>
        </w:rPr>
        <w:tab/>
      </w:r>
      <w:r w:rsidRPr="00020CA0">
        <w:rPr>
          <w:sz w:val="26"/>
          <w:szCs w:val="26"/>
        </w:rPr>
        <w:tab/>
      </w:r>
      <w:r w:rsidRPr="00020CA0">
        <w:rPr>
          <w:sz w:val="26"/>
          <w:szCs w:val="26"/>
        </w:rPr>
        <w:tab/>
        <w:t xml:space="preserve">          $ 18,376</w:t>
      </w:r>
    </w:p>
    <w:p w:rsidR="00073CB5" w:rsidRPr="00020CA0" w:rsidRDefault="00073CB5" w:rsidP="00073CB5">
      <w:pPr>
        <w:jc w:val="both"/>
        <w:rPr>
          <w:sz w:val="26"/>
          <w:szCs w:val="26"/>
        </w:rPr>
      </w:pPr>
      <w:r w:rsidRPr="00020CA0">
        <w:rPr>
          <w:sz w:val="26"/>
          <w:szCs w:val="26"/>
        </w:rPr>
        <w:t xml:space="preserve"> Recycling Bins</w:t>
      </w:r>
      <w:r w:rsidRPr="00020CA0">
        <w:rPr>
          <w:sz w:val="26"/>
          <w:szCs w:val="26"/>
        </w:rPr>
        <w:tab/>
      </w:r>
      <w:r w:rsidRPr="00020CA0">
        <w:rPr>
          <w:sz w:val="26"/>
          <w:szCs w:val="26"/>
        </w:rPr>
        <w:tab/>
      </w:r>
      <w:r w:rsidRPr="00020CA0">
        <w:rPr>
          <w:sz w:val="26"/>
          <w:szCs w:val="26"/>
        </w:rPr>
        <w:tab/>
      </w:r>
      <w:r w:rsidRPr="00020CA0">
        <w:rPr>
          <w:sz w:val="26"/>
          <w:szCs w:val="26"/>
        </w:rPr>
        <w:tab/>
      </w:r>
      <w:r w:rsidRPr="00020CA0">
        <w:rPr>
          <w:sz w:val="26"/>
          <w:szCs w:val="26"/>
        </w:rPr>
        <w:tab/>
        <w:t>$ 8,052</w:t>
      </w:r>
    </w:p>
    <w:p w:rsidR="00073CB5" w:rsidRPr="00020CA0" w:rsidRDefault="00073CB5" w:rsidP="00073CB5">
      <w:pPr>
        <w:jc w:val="both"/>
        <w:rPr>
          <w:sz w:val="26"/>
          <w:szCs w:val="26"/>
        </w:rPr>
      </w:pPr>
      <w:r w:rsidRPr="00020CA0">
        <w:rPr>
          <w:sz w:val="26"/>
          <w:szCs w:val="26"/>
        </w:rPr>
        <w:t xml:space="preserve"> Pump Station Replacement Bonds</w:t>
      </w:r>
      <w:r w:rsidRPr="00020CA0">
        <w:rPr>
          <w:sz w:val="26"/>
          <w:szCs w:val="26"/>
        </w:rPr>
        <w:tab/>
      </w:r>
      <w:r w:rsidRPr="00020CA0">
        <w:rPr>
          <w:sz w:val="26"/>
          <w:szCs w:val="26"/>
        </w:rPr>
        <w:tab/>
        <w:t>$ 33,500</w:t>
      </w:r>
      <w:r w:rsidRPr="00020CA0">
        <w:rPr>
          <w:sz w:val="26"/>
          <w:szCs w:val="26"/>
        </w:rPr>
        <w:tab/>
      </w:r>
      <w:r w:rsidRPr="00020CA0">
        <w:rPr>
          <w:sz w:val="26"/>
          <w:szCs w:val="26"/>
        </w:rPr>
        <w:tab/>
      </w:r>
    </w:p>
    <w:p w:rsidR="00073CB5" w:rsidRPr="00020CA0" w:rsidRDefault="00073CB5" w:rsidP="00073CB5">
      <w:pPr>
        <w:jc w:val="both"/>
        <w:rPr>
          <w:sz w:val="26"/>
          <w:szCs w:val="26"/>
        </w:rPr>
      </w:pPr>
    </w:p>
    <w:p w:rsidR="00073CB5" w:rsidRPr="00020CA0" w:rsidRDefault="00073CB5" w:rsidP="00073CB5">
      <w:pPr>
        <w:pStyle w:val="BodyText3"/>
        <w:rPr>
          <w:sz w:val="26"/>
          <w:szCs w:val="26"/>
        </w:rPr>
      </w:pPr>
      <w:r w:rsidRPr="00020CA0">
        <w:rPr>
          <w:sz w:val="26"/>
          <w:szCs w:val="26"/>
        </w:rPr>
        <w:t>The total Water-Sewer Fund Budget reflects a 4% increase in rates from Burlington</w:t>
      </w:r>
      <w:bookmarkStart w:id="0" w:name="_GoBack"/>
      <w:bookmarkEnd w:id="0"/>
      <w:r w:rsidRPr="00020CA0">
        <w:rPr>
          <w:sz w:val="26"/>
          <w:szCs w:val="26"/>
        </w:rPr>
        <w:t xml:space="preserve"> that is passed on in our rates.  </w:t>
      </w:r>
    </w:p>
    <w:p w:rsidR="00073CB5" w:rsidRPr="00020CA0" w:rsidRDefault="00073CB5" w:rsidP="00073CB5">
      <w:pPr>
        <w:jc w:val="both"/>
        <w:rPr>
          <w:sz w:val="26"/>
          <w:szCs w:val="26"/>
        </w:rPr>
      </w:pPr>
      <w:r w:rsidRPr="00020CA0">
        <w:rPr>
          <w:sz w:val="26"/>
          <w:szCs w:val="26"/>
        </w:rPr>
        <w:t xml:space="preserve">                                         </w:t>
      </w:r>
    </w:p>
    <w:p w:rsidR="00073CB5" w:rsidRPr="00020CA0" w:rsidRDefault="00073CB5" w:rsidP="00073CB5">
      <w:pPr>
        <w:jc w:val="both"/>
        <w:rPr>
          <w:sz w:val="26"/>
          <w:szCs w:val="26"/>
        </w:rPr>
      </w:pPr>
      <w:r w:rsidRPr="00020CA0">
        <w:rPr>
          <w:sz w:val="26"/>
          <w:szCs w:val="26"/>
        </w:rPr>
        <w:t xml:space="preserve">I am proud of the job that has been done within the Town’s Departments to maintain costs and prioritize expenditures in the 2014-2015 Budget.  </w:t>
      </w:r>
    </w:p>
    <w:p w:rsidR="00073CB5" w:rsidRPr="00020CA0" w:rsidRDefault="00073CB5" w:rsidP="00073CB5">
      <w:pPr>
        <w:jc w:val="both"/>
        <w:rPr>
          <w:sz w:val="26"/>
          <w:szCs w:val="26"/>
        </w:rPr>
      </w:pPr>
    </w:p>
    <w:p w:rsidR="00073CB5" w:rsidRPr="00020CA0" w:rsidRDefault="00073CB5" w:rsidP="00073CB5">
      <w:pPr>
        <w:rPr>
          <w:b/>
          <w:sz w:val="26"/>
          <w:szCs w:val="26"/>
          <w:u w:val="single"/>
        </w:rPr>
      </w:pPr>
      <w:r w:rsidRPr="00020CA0">
        <w:rPr>
          <w:b/>
          <w:sz w:val="26"/>
          <w:szCs w:val="26"/>
          <w:u w:val="single"/>
        </w:rPr>
        <w:t>Key Points</w:t>
      </w:r>
    </w:p>
    <w:p w:rsidR="00073CB5" w:rsidRPr="00020CA0" w:rsidRDefault="00073CB5" w:rsidP="00073CB5">
      <w:pPr>
        <w:rPr>
          <w:sz w:val="26"/>
          <w:szCs w:val="26"/>
        </w:rPr>
      </w:pPr>
      <w:r w:rsidRPr="00020CA0">
        <w:rPr>
          <w:sz w:val="26"/>
          <w:szCs w:val="26"/>
        </w:rPr>
        <w:t>The key points to keep in mind as you review the proposed budget are:</w:t>
      </w:r>
    </w:p>
    <w:p w:rsidR="00073CB5" w:rsidRPr="00020CA0" w:rsidRDefault="00073CB5" w:rsidP="00073CB5">
      <w:pPr>
        <w:rPr>
          <w:sz w:val="26"/>
          <w:szCs w:val="26"/>
        </w:rPr>
      </w:pPr>
    </w:p>
    <w:p w:rsidR="00073CB5" w:rsidRPr="00020CA0" w:rsidRDefault="00073CB5" w:rsidP="00073CB5">
      <w:pPr>
        <w:numPr>
          <w:ilvl w:val="0"/>
          <w:numId w:val="29"/>
        </w:numPr>
        <w:rPr>
          <w:smallCaps/>
          <w:sz w:val="26"/>
          <w:szCs w:val="26"/>
          <w:u w:val="single"/>
        </w:rPr>
      </w:pPr>
      <w:r w:rsidRPr="00020CA0">
        <w:rPr>
          <w:sz w:val="26"/>
          <w:szCs w:val="26"/>
          <w:u w:val="single"/>
        </w:rPr>
        <w:t xml:space="preserve">2014-2015 Tax </w:t>
      </w:r>
      <w:proofErr w:type="gramStart"/>
      <w:r w:rsidRPr="00020CA0">
        <w:rPr>
          <w:sz w:val="26"/>
          <w:szCs w:val="26"/>
          <w:u w:val="single"/>
        </w:rPr>
        <w:t>Levy</w:t>
      </w:r>
      <w:proofErr w:type="gramEnd"/>
      <w:r w:rsidRPr="00020CA0">
        <w:rPr>
          <w:sz w:val="26"/>
          <w:szCs w:val="26"/>
        </w:rPr>
        <w:t>:  In this year’s proposed budget, the property tax base decreased slightly. I am recommending that the tax rate remain the same at 48 cents per $100 evaluation.  Total property tax revenue is estimated at approximately $693,372.</w:t>
      </w:r>
      <w:r w:rsidRPr="00020CA0">
        <w:rPr>
          <w:smallCaps/>
          <w:sz w:val="26"/>
          <w:szCs w:val="26"/>
        </w:rPr>
        <w:t xml:space="preserve"> </w:t>
      </w:r>
    </w:p>
    <w:p w:rsidR="00073CB5" w:rsidRPr="00020CA0" w:rsidRDefault="00073CB5" w:rsidP="00073CB5">
      <w:pPr>
        <w:numPr>
          <w:ilvl w:val="0"/>
          <w:numId w:val="29"/>
        </w:numPr>
        <w:rPr>
          <w:smallCaps/>
          <w:sz w:val="26"/>
          <w:szCs w:val="26"/>
        </w:rPr>
      </w:pPr>
      <w:r w:rsidRPr="00020CA0">
        <w:rPr>
          <w:sz w:val="26"/>
          <w:szCs w:val="26"/>
          <w:u w:val="single"/>
        </w:rPr>
        <w:t>The General Fund Revenue Sources</w:t>
      </w:r>
      <w:r w:rsidRPr="00020CA0">
        <w:rPr>
          <w:sz w:val="26"/>
          <w:szCs w:val="26"/>
        </w:rPr>
        <w:t xml:space="preserve">: The General Fund receives revenue from a number of sources, some are restricted, some are non-restricted, some are local tax dollars, and some are not. </w:t>
      </w:r>
      <w:r w:rsidRPr="00020CA0">
        <w:rPr>
          <w:smallCaps/>
          <w:sz w:val="26"/>
          <w:szCs w:val="26"/>
        </w:rPr>
        <w:t xml:space="preserve"> </w:t>
      </w:r>
    </w:p>
    <w:p w:rsidR="00073CB5" w:rsidRPr="00020CA0" w:rsidRDefault="00073CB5" w:rsidP="00073CB5">
      <w:pPr>
        <w:numPr>
          <w:ilvl w:val="0"/>
          <w:numId w:val="29"/>
        </w:numPr>
        <w:rPr>
          <w:smallCaps/>
          <w:sz w:val="26"/>
          <w:szCs w:val="26"/>
        </w:rPr>
      </w:pPr>
      <w:r w:rsidRPr="00020CA0">
        <w:rPr>
          <w:sz w:val="26"/>
          <w:szCs w:val="26"/>
          <w:u w:val="single"/>
        </w:rPr>
        <w:t>Local Revenues in the General Fund Budget</w:t>
      </w:r>
      <w:r w:rsidRPr="00020CA0">
        <w:rPr>
          <w:sz w:val="26"/>
          <w:szCs w:val="26"/>
        </w:rPr>
        <w:t>: The Budget Message provides an overview of the budget.  A full review of the comprehensive budget will provide answers as to where the discretionary portions of the General Fund budget are allotted.</w:t>
      </w:r>
    </w:p>
    <w:p w:rsidR="00073CB5" w:rsidRPr="00020CA0" w:rsidRDefault="00073CB5" w:rsidP="00073CB5">
      <w:pPr>
        <w:numPr>
          <w:ilvl w:val="0"/>
          <w:numId w:val="29"/>
        </w:numPr>
        <w:rPr>
          <w:smallCaps/>
          <w:sz w:val="26"/>
          <w:szCs w:val="26"/>
        </w:rPr>
      </w:pPr>
      <w:r w:rsidRPr="00020CA0">
        <w:rPr>
          <w:sz w:val="26"/>
          <w:szCs w:val="26"/>
          <w:u w:val="single"/>
        </w:rPr>
        <w:t>What a Penny is Worth</w:t>
      </w:r>
      <w:r w:rsidRPr="00020CA0">
        <w:rPr>
          <w:sz w:val="26"/>
          <w:szCs w:val="26"/>
        </w:rPr>
        <w:t>: Each penny on the tax rate will generate approximately $14,445.00 in General Fund revenue.</w:t>
      </w:r>
    </w:p>
    <w:p w:rsidR="00073CB5" w:rsidRPr="00073CB5" w:rsidRDefault="00073CB5" w:rsidP="00073CB5">
      <w:pPr>
        <w:numPr>
          <w:ilvl w:val="0"/>
          <w:numId w:val="29"/>
        </w:numPr>
        <w:rPr>
          <w:b/>
          <w:smallCaps/>
          <w:sz w:val="26"/>
          <w:szCs w:val="26"/>
        </w:rPr>
      </w:pPr>
      <w:r w:rsidRPr="00073CB5">
        <w:rPr>
          <w:sz w:val="26"/>
          <w:szCs w:val="26"/>
          <w:u w:val="single"/>
        </w:rPr>
        <w:t>Garbage and Recycling fee:</w:t>
      </w:r>
      <w:r w:rsidRPr="00073CB5">
        <w:rPr>
          <w:sz w:val="26"/>
          <w:szCs w:val="26"/>
        </w:rPr>
        <w:t xml:space="preserve"> The fee is recommended to stay the same at $9.50 per household.</w:t>
      </w:r>
    </w:p>
    <w:p w:rsidR="00073CB5" w:rsidRPr="00073CB5" w:rsidRDefault="00073CB5" w:rsidP="00073CB5">
      <w:pPr>
        <w:numPr>
          <w:ilvl w:val="0"/>
          <w:numId w:val="29"/>
        </w:numPr>
        <w:rPr>
          <w:b/>
          <w:smallCaps/>
          <w:sz w:val="26"/>
          <w:szCs w:val="26"/>
        </w:rPr>
      </w:pPr>
      <w:r w:rsidRPr="00073CB5">
        <w:rPr>
          <w:sz w:val="26"/>
          <w:szCs w:val="26"/>
          <w:u w:val="single"/>
        </w:rPr>
        <w:t>Storm water Fee:</w:t>
      </w:r>
      <w:r w:rsidRPr="00073CB5">
        <w:rPr>
          <w:b/>
          <w:smallCaps/>
          <w:sz w:val="26"/>
          <w:szCs w:val="26"/>
        </w:rPr>
        <w:t xml:space="preserve"> </w:t>
      </w:r>
      <w:r w:rsidRPr="00073CB5">
        <w:rPr>
          <w:sz w:val="26"/>
          <w:szCs w:val="26"/>
        </w:rPr>
        <w:t xml:space="preserve"> The budget calls for the storm water fee to stay the same at $2 a month assessment.</w:t>
      </w:r>
    </w:p>
    <w:p w:rsidR="00073CB5" w:rsidRPr="00020CA0" w:rsidRDefault="00073CB5" w:rsidP="00073CB5">
      <w:pPr>
        <w:jc w:val="both"/>
        <w:rPr>
          <w:b/>
          <w:sz w:val="26"/>
          <w:szCs w:val="26"/>
          <w:u w:val="single"/>
        </w:rPr>
      </w:pPr>
      <w:r w:rsidRPr="00020CA0">
        <w:rPr>
          <w:b/>
          <w:sz w:val="26"/>
          <w:szCs w:val="26"/>
          <w:u w:val="single"/>
        </w:rPr>
        <w:lastRenderedPageBreak/>
        <w:t>Budget Overview Chart</w:t>
      </w:r>
    </w:p>
    <w:p w:rsidR="00073CB5" w:rsidRPr="00020CA0" w:rsidRDefault="00073CB5" w:rsidP="00073CB5">
      <w:pPr>
        <w:jc w:val="both"/>
        <w:rPr>
          <w:sz w:val="26"/>
          <w:szCs w:val="26"/>
        </w:rPr>
      </w:pPr>
      <w:r w:rsidRPr="00020CA0">
        <w:rPr>
          <w:sz w:val="26"/>
          <w:szCs w:val="26"/>
        </w:rPr>
        <w:t>This budget slightly increases spending levels above the funding level of last year.  See comparison below:</w:t>
      </w:r>
    </w:p>
    <w:p w:rsidR="00073CB5" w:rsidRDefault="00073CB5" w:rsidP="00073C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6"/>
      </w:tblGrid>
      <w:tr w:rsidR="00073CB5" w:rsidRPr="00D86FED" w:rsidTr="00E34E1A">
        <w:tc>
          <w:tcPr>
            <w:tcW w:w="9576" w:type="dxa"/>
          </w:tcPr>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9"/>
              <w:gridCol w:w="1474"/>
              <w:gridCol w:w="1525"/>
              <w:gridCol w:w="1525"/>
              <w:gridCol w:w="1525"/>
            </w:tblGrid>
            <w:tr w:rsidR="00073CB5" w:rsidRPr="00221903" w:rsidTr="00E34E1A">
              <w:trPr>
                <w:trHeight w:val="795"/>
              </w:trPr>
              <w:tc>
                <w:tcPr>
                  <w:tcW w:w="3239" w:type="dxa"/>
                  <w:noWrap/>
                  <w:vAlign w:val="bottom"/>
                </w:tcPr>
                <w:p w:rsidR="00073CB5" w:rsidRPr="00D75FF0" w:rsidRDefault="00073CB5" w:rsidP="00E34E1A">
                  <w:pPr>
                    <w:rPr>
                      <w:rFonts w:ascii="Arial" w:hAnsi="Arial" w:cs="Arial"/>
                      <w:sz w:val="20"/>
                    </w:rPr>
                  </w:pPr>
                </w:p>
              </w:tc>
              <w:tc>
                <w:tcPr>
                  <w:tcW w:w="1474" w:type="dxa"/>
                </w:tcPr>
                <w:p w:rsidR="00073CB5" w:rsidRPr="00D75FF0" w:rsidRDefault="00073CB5" w:rsidP="00E34E1A">
                  <w:pPr>
                    <w:jc w:val="center"/>
                    <w:rPr>
                      <w:rFonts w:ascii="Arial" w:hAnsi="Arial" w:cs="Arial"/>
                      <w:b/>
                      <w:bCs/>
                      <w:sz w:val="20"/>
                    </w:rPr>
                  </w:pPr>
                </w:p>
                <w:p w:rsidR="00073CB5" w:rsidRPr="00D75FF0" w:rsidRDefault="00073CB5" w:rsidP="00E34E1A">
                  <w:pPr>
                    <w:jc w:val="center"/>
                    <w:rPr>
                      <w:rFonts w:ascii="Arial" w:hAnsi="Arial" w:cs="Arial"/>
                      <w:b/>
                      <w:bCs/>
                      <w:sz w:val="20"/>
                    </w:rPr>
                  </w:pPr>
                  <w:r w:rsidRPr="00D75FF0">
                    <w:rPr>
                      <w:rFonts w:ascii="Arial" w:hAnsi="Arial" w:cs="Arial"/>
                      <w:b/>
                      <w:bCs/>
                      <w:sz w:val="20"/>
                    </w:rPr>
                    <w:t>Approved</w:t>
                  </w:r>
                </w:p>
                <w:p w:rsidR="00073CB5" w:rsidRPr="00D75FF0" w:rsidRDefault="00073CB5" w:rsidP="00E34E1A">
                  <w:pPr>
                    <w:jc w:val="center"/>
                    <w:rPr>
                      <w:rFonts w:ascii="Arial" w:hAnsi="Arial" w:cs="Arial"/>
                      <w:b/>
                      <w:bCs/>
                      <w:sz w:val="20"/>
                    </w:rPr>
                  </w:pPr>
                  <w:r w:rsidRPr="00D75FF0">
                    <w:rPr>
                      <w:rFonts w:ascii="Arial" w:hAnsi="Arial" w:cs="Arial"/>
                      <w:b/>
                      <w:bCs/>
                      <w:sz w:val="20"/>
                    </w:rPr>
                    <w:t>2011-2012</w:t>
                  </w:r>
                </w:p>
                <w:p w:rsidR="00073CB5" w:rsidRPr="00D75FF0" w:rsidRDefault="00073CB5" w:rsidP="00E34E1A">
                  <w:pPr>
                    <w:jc w:val="center"/>
                    <w:rPr>
                      <w:rFonts w:ascii="Arial" w:hAnsi="Arial" w:cs="Arial"/>
                      <w:b/>
                      <w:bCs/>
                      <w:sz w:val="20"/>
                    </w:rPr>
                  </w:pPr>
                  <w:r w:rsidRPr="00D75FF0">
                    <w:rPr>
                      <w:rFonts w:ascii="Arial" w:hAnsi="Arial" w:cs="Arial"/>
                      <w:b/>
                      <w:bCs/>
                      <w:sz w:val="20"/>
                    </w:rPr>
                    <w:t>Budget</w:t>
                  </w:r>
                </w:p>
              </w:tc>
              <w:tc>
                <w:tcPr>
                  <w:tcW w:w="1525" w:type="dxa"/>
                  <w:vAlign w:val="bottom"/>
                </w:tcPr>
                <w:p w:rsidR="00073CB5" w:rsidRPr="00D75FF0" w:rsidRDefault="00073CB5" w:rsidP="00E34E1A">
                  <w:pPr>
                    <w:pStyle w:val="Heading3"/>
                  </w:pPr>
                  <w:r w:rsidRPr="00D75FF0">
                    <w:t>Approved</w:t>
                  </w:r>
                </w:p>
                <w:p w:rsidR="00073CB5" w:rsidRPr="00D75FF0" w:rsidRDefault="00073CB5" w:rsidP="00E34E1A">
                  <w:pPr>
                    <w:jc w:val="center"/>
                    <w:rPr>
                      <w:rFonts w:ascii="Arial" w:hAnsi="Arial" w:cs="Arial"/>
                      <w:b/>
                      <w:bCs/>
                      <w:sz w:val="20"/>
                    </w:rPr>
                  </w:pPr>
                  <w:r w:rsidRPr="00D75FF0">
                    <w:rPr>
                      <w:rFonts w:ascii="Arial" w:hAnsi="Arial" w:cs="Arial"/>
                      <w:b/>
                      <w:bCs/>
                      <w:sz w:val="20"/>
                    </w:rPr>
                    <w:t>2012-2013 Budget</w:t>
                  </w:r>
                </w:p>
              </w:tc>
              <w:tc>
                <w:tcPr>
                  <w:tcW w:w="1525" w:type="dxa"/>
                </w:tcPr>
                <w:p w:rsidR="00073CB5" w:rsidRPr="00D75FF0" w:rsidRDefault="00073CB5" w:rsidP="00E34E1A">
                  <w:pPr>
                    <w:jc w:val="center"/>
                    <w:rPr>
                      <w:rFonts w:ascii="Arial" w:hAnsi="Arial" w:cs="Arial"/>
                      <w:b/>
                      <w:bCs/>
                      <w:sz w:val="18"/>
                      <w:szCs w:val="18"/>
                    </w:rPr>
                  </w:pPr>
                </w:p>
                <w:p w:rsidR="00073CB5" w:rsidRPr="00D75FF0" w:rsidRDefault="00073CB5" w:rsidP="00E34E1A">
                  <w:pPr>
                    <w:jc w:val="center"/>
                    <w:rPr>
                      <w:rFonts w:ascii="Arial" w:hAnsi="Arial" w:cs="Arial"/>
                      <w:b/>
                      <w:bCs/>
                      <w:sz w:val="18"/>
                      <w:szCs w:val="18"/>
                    </w:rPr>
                  </w:pPr>
                  <w:r w:rsidRPr="00D75FF0">
                    <w:rPr>
                      <w:rFonts w:ascii="Arial" w:hAnsi="Arial" w:cs="Arial"/>
                      <w:b/>
                      <w:bCs/>
                      <w:sz w:val="18"/>
                      <w:szCs w:val="18"/>
                    </w:rPr>
                    <w:t>Approved</w:t>
                  </w:r>
                </w:p>
                <w:p w:rsidR="00073CB5" w:rsidRPr="00D75FF0" w:rsidRDefault="00073CB5" w:rsidP="00E34E1A">
                  <w:pPr>
                    <w:jc w:val="center"/>
                    <w:rPr>
                      <w:rFonts w:ascii="Arial" w:hAnsi="Arial" w:cs="Arial"/>
                      <w:b/>
                      <w:bCs/>
                      <w:sz w:val="20"/>
                    </w:rPr>
                  </w:pPr>
                  <w:r w:rsidRPr="00D75FF0">
                    <w:rPr>
                      <w:rFonts w:ascii="Arial" w:hAnsi="Arial" w:cs="Arial"/>
                      <w:b/>
                      <w:bCs/>
                      <w:sz w:val="20"/>
                    </w:rPr>
                    <w:t>2013-2014</w:t>
                  </w:r>
                </w:p>
                <w:p w:rsidR="00073CB5" w:rsidRPr="00D75FF0" w:rsidRDefault="00073CB5" w:rsidP="00E34E1A">
                  <w:pPr>
                    <w:jc w:val="center"/>
                    <w:rPr>
                      <w:rFonts w:ascii="Arial" w:hAnsi="Arial" w:cs="Arial"/>
                      <w:b/>
                      <w:bCs/>
                      <w:sz w:val="18"/>
                      <w:szCs w:val="18"/>
                    </w:rPr>
                  </w:pPr>
                  <w:r w:rsidRPr="00D75FF0">
                    <w:rPr>
                      <w:rFonts w:ascii="Arial" w:hAnsi="Arial" w:cs="Arial"/>
                      <w:b/>
                      <w:bCs/>
                      <w:sz w:val="20"/>
                    </w:rPr>
                    <w:t>Budget</w:t>
                  </w:r>
                </w:p>
              </w:tc>
              <w:tc>
                <w:tcPr>
                  <w:tcW w:w="1525" w:type="dxa"/>
                </w:tcPr>
                <w:p w:rsidR="00073CB5" w:rsidRPr="00D75FF0" w:rsidRDefault="00073CB5" w:rsidP="00E34E1A">
                  <w:pPr>
                    <w:jc w:val="center"/>
                    <w:rPr>
                      <w:rFonts w:ascii="Arial" w:hAnsi="Arial" w:cs="Arial"/>
                      <w:b/>
                      <w:bCs/>
                      <w:sz w:val="18"/>
                      <w:szCs w:val="18"/>
                    </w:rPr>
                  </w:pPr>
                </w:p>
                <w:p w:rsidR="00073CB5" w:rsidRPr="00D75FF0" w:rsidRDefault="00073CB5" w:rsidP="00E34E1A">
                  <w:pPr>
                    <w:jc w:val="center"/>
                    <w:rPr>
                      <w:rFonts w:ascii="Arial" w:hAnsi="Arial" w:cs="Arial"/>
                      <w:b/>
                      <w:bCs/>
                      <w:sz w:val="18"/>
                      <w:szCs w:val="18"/>
                    </w:rPr>
                  </w:pPr>
                  <w:r w:rsidRPr="00D75FF0">
                    <w:rPr>
                      <w:rFonts w:ascii="Arial" w:hAnsi="Arial" w:cs="Arial"/>
                      <w:b/>
                      <w:bCs/>
                      <w:sz w:val="18"/>
                      <w:szCs w:val="18"/>
                    </w:rPr>
                    <w:t>Recommended</w:t>
                  </w:r>
                </w:p>
                <w:p w:rsidR="00073CB5" w:rsidRPr="00D75FF0" w:rsidRDefault="00073CB5" w:rsidP="00E34E1A">
                  <w:pPr>
                    <w:jc w:val="center"/>
                    <w:rPr>
                      <w:rFonts w:ascii="Arial" w:hAnsi="Arial" w:cs="Arial"/>
                      <w:b/>
                      <w:bCs/>
                      <w:sz w:val="20"/>
                    </w:rPr>
                  </w:pPr>
                  <w:r w:rsidRPr="00D75FF0">
                    <w:rPr>
                      <w:rFonts w:ascii="Arial" w:hAnsi="Arial" w:cs="Arial"/>
                      <w:b/>
                      <w:bCs/>
                      <w:sz w:val="20"/>
                    </w:rPr>
                    <w:t>2014-2015</w:t>
                  </w:r>
                </w:p>
                <w:p w:rsidR="00073CB5" w:rsidRPr="00D75FF0" w:rsidRDefault="00073CB5" w:rsidP="00E34E1A">
                  <w:pPr>
                    <w:jc w:val="center"/>
                    <w:rPr>
                      <w:rFonts w:ascii="Arial" w:hAnsi="Arial" w:cs="Arial"/>
                      <w:b/>
                      <w:bCs/>
                      <w:sz w:val="18"/>
                      <w:szCs w:val="18"/>
                    </w:rPr>
                  </w:pPr>
                  <w:r w:rsidRPr="00D75FF0">
                    <w:rPr>
                      <w:rFonts w:ascii="Arial" w:hAnsi="Arial" w:cs="Arial"/>
                      <w:b/>
                      <w:bCs/>
                      <w:sz w:val="20"/>
                    </w:rPr>
                    <w:t>Budget</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b/>
                      <w:bCs/>
                      <w:sz w:val="20"/>
                    </w:rPr>
                  </w:pPr>
                  <w:r w:rsidRPr="00D75FF0">
                    <w:rPr>
                      <w:rFonts w:ascii="Arial" w:hAnsi="Arial" w:cs="Arial"/>
                      <w:b/>
                      <w:bCs/>
                      <w:sz w:val="20"/>
                    </w:rPr>
                    <w:t>GENERAL FUND</w:t>
                  </w:r>
                </w:p>
              </w:tc>
              <w:tc>
                <w:tcPr>
                  <w:tcW w:w="1474" w:type="dxa"/>
                </w:tcPr>
                <w:p w:rsidR="00073CB5" w:rsidRPr="00D75FF0" w:rsidRDefault="00073CB5" w:rsidP="00E34E1A">
                  <w:pP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Governing Body</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14,850.00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14,850.00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15,750.00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15,450.00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Administration</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227,525.00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227,742.00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181,849.00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193,368.00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Public Buildings</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39,500.00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39,500.00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39,500.00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39,500.00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Police Department</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573,085.00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591,138.00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586,533.00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613,568.00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Fire Department</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320,008.00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336,085.00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327,393.00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337,229.00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Streets and Highways (PW)</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121,402.00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128,566.00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271,353.00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280,682.00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Sanitation</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118,000.00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101,000.00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102,700.00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105,500.00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Parks &amp; Recreation</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171,157.00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189,439.00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159,457.00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163,474.00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Non-Departmental</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149,683.00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174,945.00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176,203.00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157,269.00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b/>
                      <w:bCs/>
                      <w:sz w:val="20"/>
                    </w:rPr>
                  </w:pPr>
                  <w:r w:rsidRPr="00D75FF0">
                    <w:rPr>
                      <w:rFonts w:ascii="Arial" w:hAnsi="Arial" w:cs="Arial"/>
                      <w:b/>
                      <w:bCs/>
                      <w:sz w:val="20"/>
                    </w:rPr>
                    <w:t>GENERAL FUND TOTALS</w:t>
                  </w:r>
                </w:p>
              </w:tc>
              <w:tc>
                <w:tcPr>
                  <w:tcW w:w="1474" w:type="dxa"/>
                  <w:vAlign w:val="bottom"/>
                </w:tcPr>
                <w:p w:rsidR="00073CB5" w:rsidRPr="00D75FF0" w:rsidRDefault="00073CB5" w:rsidP="00E34E1A">
                  <w:pPr>
                    <w:jc w:val="center"/>
                    <w:rPr>
                      <w:rFonts w:ascii="Arial" w:hAnsi="Arial" w:cs="Arial"/>
                      <w:b/>
                      <w:i/>
                      <w:sz w:val="20"/>
                    </w:rPr>
                  </w:pPr>
                  <w:r w:rsidRPr="00D75FF0">
                    <w:rPr>
                      <w:rFonts w:ascii="Arial" w:hAnsi="Arial" w:cs="Arial"/>
                      <w:b/>
                      <w:i/>
                      <w:sz w:val="20"/>
                    </w:rPr>
                    <w:t>1,735,210.00</w:t>
                  </w:r>
                </w:p>
              </w:tc>
              <w:tc>
                <w:tcPr>
                  <w:tcW w:w="1525" w:type="dxa"/>
                  <w:noWrap/>
                  <w:vAlign w:val="bottom"/>
                </w:tcPr>
                <w:p w:rsidR="00073CB5" w:rsidRPr="00D75FF0" w:rsidRDefault="00073CB5" w:rsidP="00E34E1A">
                  <w:pPr>
                    <w:rPr>
                      <w:rFonts w:ascii="Arial" w:hAnsi="Arial" w:cs="Arial"/>
                      <w:b/>
                      <w:i/>
                      <w:sz w:val="20"/>
                    </w:rPr>
                  </w:pPr>
                  <w:r w:rsidRPr="00D75FF0">
                    <w:rPr>
                      <w:rFonts w:ascii="Arial" w:hAnsi="Arial" w:cs="Arial"/>
                      <w:b/>
                      <w:i/>
                      <w:sz w:val="20"/>
                    </w:rPr>
                    <w:t>1,803,265.00</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1,860,738.00 </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1,906,040.00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b/>
                      <w:bCs/>
                      <w:sz w:val="20"/>
                    </w:rPr>
                  </w:pPr>
                  <w:r w:rsidRPr="00D75FF0">
                    <w:rPr>
                      <w:rFonts w:ascii="Arial" w:hAnsi="Arial" w:cs="Arial"/>
                      <w:b/>
                      <w:bCs/>
                      <w:sz w:val="20"/>
                    </w:rPr>
                    <w:t>POWELL BILL FUND</w:t>
                  </w:r>
                </w:p>
              </w:tc>
              <w:tc>
                <w:tcPr>
                  <w:tcW w:w="1474" w:type="dxa"/>
                  <w:vAlign w:val="bottom"/>
                </w:tcPr>
                <w:p w:rsidR="00073CB5" w:rsidRPr="00D75FF0" w:rsidRDefault="00073CB5" w:rsidP="00E34E1A">
                  <w:pPr>
                    <w:jc w:val="center"/>
                    <w:rPr>
                      <w:rFonts w:ascii="Arial" w:hAnsi="Arial" w:cs="Arial"/>
                      <w:b/>
                      <w:i/>
                      <w:sz w:val="20"/>
                    </w:rPr>
                  </w:pPr>
                  <w:r w:rsidRPr="00D75FF0">
                    <w:rPr>
                      <w:rFonts w:ascii="Arial" w:hAnsi="Arial" w:cs="Arial"/>
                      <w:b/>
                      <w:i/>
                      <w:sz w:val="20"/>
                    </w:rPr>
                    <w:t>55,000.00</w:t>
                  </w:r>
                </w:p>
              </w:tc>
              <w:tc>
                <w:tcPr>
                  <w:tcW w:w="1525" w:type="dxa"/>
                  <w:noWrap/>
                  <w:vAlign w:val="bottom"/>
                </w:tcPr>
                <w:p w:rsidR="00073CB5" w:rsidRPr="00D75FF0" w:rsidRDefault="00073CB5" w:rsidP="00E34E1A">
                  <w:pPr>
                    <w:rPr>
                      <w:rFonts w:ascii="Arial" w:hAnsi="Arial" w:cs="Arial"/>
                      <w:b/>
                      <w:i/>
                      <w:sz w:val="20"/>
                    </w:rPr>
                  </w:pPr>
                  <w:r w:rsidRPr="00D75FF0">
                    <w:rPr>
                      <w:rFonts w:ascii="Arial" w:hAnsi="Arial" w:cs="Arial"/>
                      <w:b/>
                      <w:i/>
                      <w:sz w:val="20"/>
                    </w:rPr>
                    <w:t>138,000.00</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87,000.00 </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63,500.00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221903" w:rsidTr="00E34E1A">
              <w:trPr>
                <w:trHeight w:val="255"/>
              </w:trPr>
              <w:tc>
                <w:tcPr>
                  <w:tcW w:w="3239" w:type="dxa"/>
                  <w:noWrap/>
                  <w:vAlign w:val="bottom"/>
                </w:tcPr>
                <w:p w:rsidR="00073CB5" w:rsidRPr="00D75FF0" w:rsidRDefault="00073CB5" w:rsidP="00E34E1A">
                  <w:pPr>
                    <w:pStyle w:val="Heading1"/>
                  </w:pPr>
                  <w:r w:rsidRPr="00D75FF0">
                    <w:rPr>
                      <w:bCs w:val="0"/>
                    </w:rPr>
                    <w:t>WATER &amp; SEWER FUND</w:t>
                  </w: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Administration</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300,737.94</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207,728.00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197,435.00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187,913.00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b/>
                      <w:bCs/>
                      <w:sz w:val="20"/>
                    </w:rPr>
                  </w:pPr>
                  <w:r w:rsidRPr="00D75FF0">
                    <w:rPr>
                      <w:rFonts w:ascii="Arial" w:hAnsi="Arial" w:cs="Arial"/>
                      <w:sz w:val="20"/>
                    </w:rPr>
                    <w:t>Water Department</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683,319.06</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743,566.00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742,234.00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731,279.00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sz w:val="20"/>
                    </w:rPr>
                    <w:t>Sewer Department</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sz w:val="20"/>
                    </w:rPr>
                    <w:t>650,199.00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sz w:val="20"/>
                    </w:rPr>
                    <w:t>691,824.00</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777,831.00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xml:space="preserve">         897,078.00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r w:rsidRPr="00D75FF0">
                    <w:rPr>
                      <w:rFonts w:ascii="Arial" w:hAnsi="Arial" w:cs="Arial"/>
                      <w:b/>
                      <w:bCs/>
                      <w:sz w:val="20"/>
                    </w:rPr>
                    <w:t>WATER &amp; SEWER FUND TOTALS</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b/>
                      <w:i/>
                      <w:sz w:val="20"/>
                    </w:rPr>
                    <w:t>1,634,256.00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b/>
                      <w:i/>
                      <w:sz w:val="20"/>
                    </w:rPr>
                    <w:t>1,643,118.00</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1,717,500.00 </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1,816,270.00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b/>
                      <w:bCs/>
                      <w:sz w:val="20"/>
                    </w:rPr>
                  </w:pPr>
                  <w:r w:rsidRPr="00D75FF0">
                    <w:rPr>
                      <w:rFonts w:ascii="Arial" w:hAnsi="Arial" w:cs="Arial"/>
                      <w:b/>
                      <w:bCs/>
                      <w:sz w:val="20"/>
                    </w:rPr>
                    <w:t>STORMWATER FUND</w:t>
                  </w:r>
                </w:p>
              </w:tc>
              <w:tc>
                <w:tcPr>
                  <w:tcW w:w="1474" w:type="dxa"/>
                  <w:vAlign w:val="bottom"/>
                </w:tcPr>
                <w:p w:rsidR="00073CB5" w:rsidRPr="00D75FF0" w:rsidRDefault="00073CB5" w:rsidP="00E34E1A">
                  <w:pPr>
                    <w:jc w:val="center"/>
                    <w:rPr>
                      <w:rFonts w:ascii="Arial" w:hAnsi="Arial" w:cs="Arial"/>
                      <w:b/>
                      <w:i/>
                      <w:sz w:val="20"/>
                    </w:rPr>
                  </w:pPr>
                  <w:r w:rsidRPr="00D75FF0">
                    <w:rPr>
                      <w:rFonts w:ascii="Arial" w:hAnsi="Arial" w:cs="Arial"/>
                      <w:sz w:val="20"/>
                    </w:rPr>
                    <w:t>22,000.00</w:t>
                  </w:r>
                </w:p>
              </w:tc>
              <w:tc>
                <w:tcPr>
                  <w:tcW w:w="1525" w:type="dxa"/>
                  <w:noWrap/>
                  <w:vAlign w:val="bottom"/>
                </w:tcPr>
                <w:p w:rsidR="00073CB5" w:rsidRPr="00D75FF0" w:rsidRDefault="00073CB5" w:rsidP="00E34E1A">
                  <w:pPr>
                    <w:rPr>
                      <w:rFonts w:ascii="Arial" w:hAnsi="Arial" w:cs="Arial"/>
                      <w:b/>
                      <w:i/>
                      <w:sz w:val="20"/>
                    </w:rPr>
                  </w:pPr>
                  <w:r w:rsidRPr="00D75FF0">
                    <w:rPr>
                      <w:rFonts w:ascii="Arial" w:hAnsi="Arial" w:cs="Arial"/>
                      <w:sz w:val="20"/>
                    </w:rPr>
                    <w:t>22,000.00</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22,000.00 </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22,500.00 </w:t>
                  </w:r>
                </w:p>
              </w:tc>
            </w:tr>
            <w:tr w:rsidR="00073CB5" w:rsidRPr="00221903" w:rsidTr="00E34E1A">
              <w:trPr>
                <w:trHeight w:val="255"/>
              </w:trPr>
              <w:tc>
                <w:tcPr>
                  <w:tcW w:w="3239" w:type="dxa"/>
                  <w:noWrap/>
                  <w:vAlign w:val="bottom"/>
                </w:tcPr>
                <w:p w:rsidR="00073CB5" w:rsidRPr="00D75FF0" w:rsidRDefault="00073CB5" w:rsidP="00E34E1A">
                  <w:pPr>
                    <w:rPr>
                      <w:rFonts w:ascii="Arial" w:hAnsi="Arial" w:cs="Arial"/>
                      <w:sz w:val="20"/>
                    </w:rPr>
                  </w:pP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r>
            <w:tr w:rsidR="00073CB5" w:rsidRPr="00A16D0E" w:rsidTr="00E34E1A">
              <w:trPr>
                <w:trHeight w:val="255"/>
              </w:trPr>
              <w:tc>
                <w:tcPr>
                  <w:tcW w:w="3239" w:type="dxa"/>
                  <w:shd w:val="clear" w:color="000000" w:fill="000000"/>
                  <w:noWrap/>
                  <w:vAlign w:val="bottom"/>
                </w:tcPr>
                <w:p w:rsidR="00073CB5" w:rsidRPr="00D75FF0" w:rsidRDefault="00073CB5" w:rsidP="00E34E1A">
                  <w:pPr>
                    <w:rPr>
                      <w:rFonts w:ascii="Arial" w:hAnsi="Arial" w:cs="Arial"/>
                      <w:b/>
                      <w:bCs/>
                      <w:sz w:val="20"/>
                    </w:rPr>
                  </w:pPr>
                  <w:r w:rsidRPr="00D75FF0">
                    <w:rPr>
                      <w:rFonts w:ascii="Arial" w:hAnsi="Arial" w:cs="Arial"/>
                      <w:b/>
                      <w:bCs/>
                      <w:sz w:val="20"/>
                    </w:rPr>
                    <w:t>TOTAL EXPENDITURES</w:t>
                  </w:r>
                </w:p>
              </w:tc>
              <w:tc>
                <w:tcPr>
                  <w:tcW w:w="1474" w:type="dxa"/>
                  <w:vAlign w:val="bottom"/>
                </w:tcPr>
                <w:p w:rsidR="00073CB5" w:rsidRPr="00D75FF0" w:rsidRDefault="00073CB5" w:rsidP="00E34E1A">
                  <w:pPr>
                    <w:jc w:val="center"/>
                    <w:rPr>
                      <w:rFonts w:ascii="Arial" w:hAnsi="Arial" w:cs="Arial"/>
                      <w:sz w:val="20"/>
                    </w:rPr>
                  </w:pPr>
                  <w:r w:rsidRPr="00D75FF0">
                    <w:rPr>
                      <w:rFonts w:ascii="Arial" w:hAnsi="Arial" w:cs="Arial"/>
                      <w:b/>
                      <w:bCs/>
                      <w:i/>
                      <w:sz w:val="20"/>
                    </w:rPr>
                    <w:t>3,446,466.00</w:t>
                  </w:r>
                </w:p>
              </w:tc>
              <w:tc>
                <w:tcPr>
                  <w:tcW w:w="1525" w:type="dxa"/>
                  <w:noWrap/>
                  <w:vAlign w:val="bottom"/>
                </w:tcPr>
                <w:p w:rsidR="00073CB5" w:rsidRPr="00D75FF0" w:rsidRDefault="00073CB5" w:rsidP="00E34E1A">
                  <w:pPr>
                    <w:rPr>
                      <w:rFonts w:ascii="Arial" w:hAnsi="Arial" w:cs="Arial"/>
                      <w:sz w:val="20"/>
                    </w:rPr>
                  </w:pPr>
                  <w:r w:rsidRPr="00D75FF0">
                    <w:rPr>
                      <w:rFonts w:ascii="Arial" w:hAnsi="Arial" w:cs="Arial"/>
                      <w:b/>
                      <w:bCs/>
                      <w:i/>
                      <w:sz w:val="20"/>
                    </w:rPr>
                    <w:t>3,606,383.00</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3,687,238.00 </w:t>
                  </w:r>
                </w:p>
              </w:tc>
              <w:tc>
                <w:tcPr>
                  <w:tcW w:w="1525" w:type="dxa"/>
                  <w:vAlign w:val="bottom"/>
                </w:tcPr>
                <w:p w:rsidR="00073CB5" w:rsidRPr="00D75FF0" w:rsidRDefault="00073CB5" w:rsidP="00E34E1A">
                  <w:pPr>
                    <w:rPr>
                      <w:rFonts w:ascii="Arial" w:hAnsi="Arial" w:cs="Arial"/>
                      <w:b/>
                      <w:bCs/>
                      <w:sz w:val="20"/>
                    </w:rPr>
                  </w:pPr>
                  <w:r w:rsidRPr="00D75FF0">
                    <w:rPr>
                      <w:rFonts w:ascii="Arial" w:hAnsi="Arial" w:cs="Arial"/>
                      <w:b/>
                      <w:bCs/>
                      <w:sz w:val="20"/>
                    </w:rPr>
                    <w:t xml:space="preserve">      3,808,310.00 </w:t>
                  </w:r>
                </w:p>
              </w:tc>
            </w:tr>
            <w:tr w:rsidR="00073CB5" w:rsidRPr="00A16D0E" w:rsidTr="00E34E1A">
              <w:trPr>
                <w:trHeight w:val="255"/>
              </w:trPr>
              <w:tc>
                <w:tcPr>
                  <w:tcW w:w="3239" w:type="dxa"/>
                  <w:noWrap/>
                  <w:vAlign w:val="bottom"/>
                </w:tcPr>
                <w:p w:rsidR="00073CB5" w:rsidRPr="00D75FF0" w:rsidRDefault="00073CB5" w:rsidP="00E34E1A">
                  <w:pPr>
                    <w:rPr>
                      <w:rFonts w:ascii="Arial" w:hAnsi="Arial" w:cs="Arial"/>
                      <w:sz w:val="20"/>
                    </w:rPr>
                  </w:pPr>
                </w:p>
              </w:tc>
              <w:tc>
                <w:tcPr>
                  <w:tcW w:w="1474" w:type="dxa"/>
                  <w:vAlign w:val="bottom"/>
                </w:tcPr>
                <w:p w:rsidR="00073CB5" w:rsidRPr="00D75FF0" w:rsidRDefault="00073CB5" w:rsidP="00E34E1A">
                  <w:pPr>
                    <w:jc w:val="center"/>
                    <w:rPr>
                      <w:rFonts w:ascii="Arial" w:hAnsi="Arial" w:cs="Arial"/>
                      <w:sz w:val="20"/>
                    </w:rPr>
                  </w:pPr>
                </w:p>
              </w:tc>
              <w:tc>
                <w:tcPr>
                  <w:tcW w:w="1525" w:type="dxa"/>
                  <w:noWrap/>
                  <w:vAlign w:val="bottom"/>
                </w:tcPr>
                <w:p w:rsidR="00073CB5" w:rsidRPr="00D75FF0" w:rsidRDefault="00073CB5" w:rsidP="00E34E1A">
                  <w:pPr>
                    <w:rPr>
                      <w:rFonts w:ascii="Arial" w:hAnsi="Arial" w:cs="Arial"/>
                      <w:sz w:val="20"/>
                    </w:rPr>
                  </w:pPr>
                </w:p>
              </w:tc>
              <w:tc>
                <w:tcPr>
                  <w:tcW w:w="1525" w:type="dxa"/>
                  <w:vAlign w:val="bottom"/>
                </w:tcPr>
                <w:p w:rsidR="00073CB5" w:rsidRPr="00D75FF0" w:rsidRDefault="00073CB5" w:rsidP="00E34E1A">
                  <w:pPr>
                    <w:rPr>
                      <w:rFonts w:ascii="Arial" w:hAnsi="Arial" w:cs="Arial"/>
                      <w:sz w:val="20"/>
                    </w:rPr>
                  </w:pPr>
                  <w:r w:rsidRPr="00D75FF0">
                    <w:rPr>
                      <w:rFonts w:ascii="Arial" w:hAnsi="Arial" w:cs="Arial"/>
                      <w:sz w:val="20"/>
                    </w:rPr>
                    <w:t> </w:t>
                  </w:r>
                </w:p>
              </w:tc>
              <w:tc>
                <w:tcPr>
                  <w:tcW w:w="1525" w:type="dxa"/>
                </w:tcPr>
                <w:p w:rsidR="00073CB5" w:rsidRPr="00D75FF0" w:rsidRDefault="00073CB5" w:rsidP="00E34E1A">
                  <w:pPr>
                    <w:rPr>
                      <w:rFonts w:ascii="Arial" w:hAnsi="Arial" w:cs="Arial"/>
                      <w:sz w:val="20"/>
                    </w:rPr>
                  </w:pPr>
                </w:p>
              </w:tc>
            </w:tr>
            <w:tr w:rsidR="00073CB5" w:rsidRPr="00A16D0E" w:rsidTr="00E34E1A">
              <w:trPr>
                <w:trHeight w:val="255"/>
              </w:trPr>
              <w:tc>
                <w:tcPr>
                  <w:tcW w:w="3239" w:type="dxa"/>
                  <w:shd w:val="clear" w:color="000000" w:fill="000000"/>
                  <w:noWrap/>
                  <w:vAlign w:val="bottom"/>
                </w:tcPr>
                <w:p w:rsidR="00073CB5" w:rsidRPr="00D75FF0" w:rsidRDefault="00073CB5" w:rsidP="00E34E1A">
                  <w:pPr>
                    <w:rPr>
                      <w:rFonts w:ascii="Arial" w:hAnsi="Arial" w:cs="Arial"/>
                      <w:b/>
                      <w:bCs/>
                      <w:sz w:val="20"/>
                    </w:rPr>
                  </w:pPr>
                </w:p>
              </w:tc>
              <w:tc>
                <w:tcPr>
                  <w:tcW w:w="1474" w:type="dxa"/>
                  <w:vAlign w:val="bottom"/>
                </w:tcPr>
                <w:p w:rsidR="00073CB5" w:rsidRPr="00D75FF0" w:rsidRDefault="00073CB5" w:rsidP="00E34E1A">
                  <w:pPr>
                    <w:jc w:val="center"/>
                    <w:rPr>
                      <w:rFonts w:ascii="Arial" w:hAnsi="Arial" w:cs="Arial"/>
                      <w:b/>
                      <w:bCs/>
                      <w:i/>
                      <w:sz w:val="20"/>
                    </w:rPr>
                  </w:pPr>
                </w:p>
              </w:tc>
              <w:tc>
                <w:tcPr>
                  <w:tcW w:w="1525" w:type="dxa"/>
                  <w:noWrap/>
                  <w:vAlign w:val="bottom"/>
                </w:tcPr>
                <w:p w:rsidR="00073CB5" w:rsidRPr="00D75FF0" w:rsidRDefault="00073CB5" w:rsidP="00E34E1A">
                  <w:pPr>
                    <w:rPr>
                      <w:rFonts w:ascii="Arial" w:hAnsi="Arial" w:cs="Arial"/>
                      <w:b/>
                      <w:bCs/>
                      <w:i/>
                      <w:sz w:val="20"/>
                    </w:rPr>
                  </w:pPr>
                </w:p>
              </w:tc>
              <w:tc>
                <w:tcPr>
                  <w:tcW w:w="1525" w:type="dxa"/>
                  <w:vAlign w:val="bottom"/>
                </w:tcPr>
                <w:p w:rsidR="00073CB5" w:rsidRPr="00D75FF0" w:rsidRDefault="00073CB5" w:rsidP="00E34E1A">
                  <w:pPr>
                    <w:rPr>
                      <w:rFonts w:ascii="Arial" w:hAnsi="Arial" w:cs="Arial"/>
                      <w:sz w:val="20"/>
                    </w:rPr>
                  </w:pPr>
                </w:p>
              </w:tc>
              <w:tc>
                <w:tcPr>
                  <w:tcW w:w="1525" w:type="dxa"/>
                </w:tcPr>
                <w:p w:rsidR="00073CB5" w:rsidRPr="00D75FF0" w:rsidRDefault="00073CB5" w:rsidP="00E34E1A">
                  <w:pPr>
                    <w:rPr>
                      <w:rFonts w:ascii="Arial" w:hAnsi="Arial" w:cs="Arial"/>
                      <w:b/>
                      <w:bCs/>
                      <w:i/>
                      <w:sz w:val="20"/>
                    </w:rPr>
                  </w:pPr>
                </w:p>
              </w:tc>
            </w:tr>
          </w:tbl>
          <w:p w:rsidR="00073CB5" w:rsidRPr="007B66F5" w:rsidRDefault="00073CB5" w:rsidP="00E34E1A"/>
        </w:tc>
      </w:tr>
    </w:tbl>
    <w:p w:rsidR="00073CB5" w:rsidRDefault="00073CB5" w:rsidP="00073CB5">
      <w:pPr>
        <w:jc w:val="both"/>
      </w:pPr>
    </w:p>
    <w:p w:rsidR="00073CB5" w:rsidRDefault="00073CB5" w:rsidP="00073CB5"/>
    <w:p w:rsidR="00073CB5" w:rsidRDefault="00073CB5" w:rsidP="00073CB5"/>
    <w:p w:rsidR="00073CB5" w:rsidRPr="00B52FF7" w:rsidRDefault="00073CB5" w:rsidP="00073CB5">
      <w:pPr>
        <w:rPr>
          <w:b/>
          <w:sz w:val="28"/>
          <w:szCs w:val="28"/>
        </w:rPr>
      </w:pPr>
      <w:r w:rsidRPr="00B52FF7">
        <w:rPr>
          <w:b/>
          <w:sz w:val="28"/>
          <w:szCs w:val="28"/>
        </w:rPr>
        <w:t>Revenues</w:t>
      </w:r>
    </w:p>
    <w:p w:rsidR="00073CB5" w:rsidRPr="00B52FF7" w:rsidRDefault="00073CB5" w:rsidP="00073CB5">
      <w:pPr>
        <w:rPr>
          <w:sz w:val="28"/>
          <w:szCs w:val="28"/>
        </w:rPr>
      </w:pPr>
    </w:p>
    <w:p w:rsidR="00073CB5" w:rsidRPr="00B52FF7" w:rsidRDefault="00073CB5" w:rsidP="00073CB5">
      <w:pPr>
        <w:rPr>
          <w:sz w:val="28"/>
          <w:szCs w:val="28"/>
        </w:rPr>
      </w:pPr>
      <w:r w:rsidRPr="00B52FF7">
        <w:rPr>
          <w:sz w:val="28"/>
          <w:szCs w:val="28"/>
        </w:rPr>
        <w:t xml:space="preserve">This budget recommends </w:t>
      </w:r>
      <w:r>
        <w:rPr>
          <w:sz w:val="28"/>
          <w:szCs w:val="28"/>
        </w:rPr>
        <w:t>that the</w:t>
      </w:r>
      <w:r w:rsidRPr="00B52FF7">
        <w:rPr>
          <w:sz w:val="28"/>
          <w:szCs w:val="28"/>
        </w:rPr>
        <w:t xml:space="preserve"> tax rate </w:t>
      </w:r>
      <w:r>
        <w:rPr>
          <w:sz w:val="28"/>
          <w:szCs w:val="28"/>
        </w:rPr>
        <w:t xml:space="preserve">remains steady at 48 cents per $100 valuation. </w:t>
      </w:r>
      <w:r w:rsidRPr="00B52FF7">
        <w:rPr>
          <w:sz w:val="28"/>
          <w:szCs w:val="28"/>
        </w:rPr>
        <w:t xml:space="preserve">There is </w:t>
      </w:r>
      <w:r>
        <w:rPr>
          <w:sz w:val="28"/>
          <w:szCs w:val="28"/>
        </w:rPr>
        <w:t>a</w:t>
      </w:r>
      <w:r w:rsidRPr="00B52FF7">
        <w:rPr>
          <w:sz w:val="28"/>
          <w:szCs w:val="28"/>
        </w:rPr>
        <w:t xml:space="preserve"> fund balance appropriation</w:t>
      </w:r>
      <w:r>
        <w:rPr>
          <w:sz w:val="28"/>
          <w:szCs w:val="28"/>
        </w:rPr>
        <w:t xml:space="preserve"> of $50,000 </w:t>
      </w:r>
      <w:r w:rsidRPr="00B52FF7">
        <w:rPr>
          <w:sz w:val="28"/>
          <w:szCs w:val="28"/>
        </w:rPr>
        <w:t xml:space="preserve">in order to balance the general fund budget.  </w:t>
      </w:r>
    </w:p>
    <w:p w:rsidR="00073CB5" w:rsidRPr="00B52FF7" w:rsidRDefault="00073CB5" w:rsidP="00073CB5">
      <w:pPr>
        <w:rPr>
          <w:sz w:val="28"/>
          <w:szCs w:val="28"/>
        </w:rPr>
      </w:pPr>
    </w:p>
    <w:p w:rsidR="00073CB5" w:rsidRDefault="00073CB5" w:rsidP="00073CB5">
      <w:pPr>
        <w:pStyle w:val="BodyText2"/>
      </w:pPr>
      <w:r w:rsidRPr="00B52FF7">
        <w:t xml:space="preserve">The Water and Sewer fund reflects a </w:t>
      </w:r>
      <w:r>
        <w:t>4</w:t>
      </w:r>
      <w:r w:rsidRPr="00B52FF7">
        <w:t xml:space="preserve">% increase in water and sewer rates.  The City of Burlington enacted a </w:t>
      </w:r>
      <w:r>
        <w:t>4%</w:t>
      </w:r>
      <w:r w:rsidRPr="00B52FF7">
        <w:t xml:space="preserve"> increase on their municipal water and sewer customers, and we have no choice but to raise our rates accordingly</w:t>
      </w:r>
      <w:r w:rsidRPr="00711D0C">
        <w:t>.  Even with the new rates, the minimum monthly bill remains reasonable, moving from $40.86 to $42.05.  This is a $1.19 increase per month.</w:t>
      </w: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Default="00073CB5" w:rsidP="00073CB5">
      <w:pPr>
        <w:pStyle w:val="BodyText2"/>
      </w:pPr>
    </w:p>
    <w:p w:rsidR="00073CB5" w:rsidRPr="008831AD" w:rsidRDefault="00073CB5" w:rsidP="00073CB5">
      <w:pPr>
        <w:pStyle w:val="BodyText"/>
        <w:rPr>
          <w:sz w:val="28"/>
          <w:szCs w:val="28"/>
        </w:rPr>
      </w:pPr>
      <w:r w:rsidRPr="008831AD">
        <w:rPr>
          <w:sz w:val="28"/>
          <w:szCs w:val="28"/>
        </w:rPr>
        <w:lastRenderedPageBreak/>
        <w:t xml:space="preserve">The following tables outline projected revenues by fund and department.  Also shown is a comparison with the previous year’s budget. </w:t>
      </w:r>
    </w:p>
    <w:p w:rsidR="00073CB5" w:rsidRDefault="00073CB5" w:rsidP="00073CB5">
      <w:pPr>
        <w:pStyle w:val="BodyText"/>
      </w:pPr>
    </w:p>
    <w:tbl>
      <w:tblPr>
        <w:tblW w:w="8545" w:type="dxa"/>
        <w:tblInd w:w="-15" w:type="dxa"/>
        <w:tblCellMar>
          <w:left w:w="0" w:type="dxa"/>
          <w:right w:w="0" w:type="dxa"/>
        </w:tblCellMar>
        <w:tblLook w:val="04A0"/>
      </w:tblPr>
      <w:tblGrid>
        <w:gridCol w:w="3233"/>
        <w:gridCol w:w="1347"/>
        <w:gridCol w:w="1650"/>
        <w:gridCol w:w="1212"/>
        <w:gridCol w:w="1195"/>
      </w:tblGrid>
      <w:tr w:rsidR="00073CB5" w:rsidRPr="00711D0C" w:rsidTr="00E34E1A">
        <w:trPr>
          <w:trHeight w:val="208"/>
        </w:trPr>
        <w:tc>
          <w:tcPr>
            <w:tcW w:w="3233" w:type="dxa"/>
            <w:tcBorders>
              <w:top w:val="single" w:sz="8" w:space="0" w:color="auto"/>
              <w:left w:val="single" w:sz="8" w:space="0" w:color="auto"/>
              <w:bottom w:val="single" w:sz="8" w:space="0" w:color="auto"/>
              <w:right w:val="single" w:sz="8" w:space="0" w:color="auto"/>
            </w:tcBorders>
            <w:shd w:val="clear" w:color="000000" w:fill="000000"/>
            <w:noWrap/>
            <w:tcMar>
              <w:top w:w="15" w:type="dxa"/>
              <w:left w:w="15" w:type="dxa"/>
              <w:bottom w:w="0" w:type="dxa"/>
              <w:right w:w="15" w:type="dxa"/>
            </w:tcMar>
            <w:vAlign w:val="bottom"/>
            <w:hideMark/>
          </w:tcPr>
          <w:p w:rsidR="00073CB5" w:rsidRPr="00711D0C" w:rsidRDefault="00073CB5" w:rsidP="00E34E1A">
            <w:pPr>
              <w:rPr>
                <w:rFonts w:ascii="Arial" w:hAnsi="Arial" w:cs="Arial"/>
                <w:b/>
                <w:bCs/>
                <w:color w:val="FFFFFF"/>
                <w:sz w:val="20"/>
              </w:rPr>
            </w:pPr>
            <w:r w:rsidRPr="00711D0C">
              <w:rPr>
                <w:rFonts w:ascii="Arial" w:hAnsi="Arial" w:cs="Arial"/>
                <w:b/>
                <w:bCs/>
                <w:color w:val="FFFFFF"/>
                <w:sz w:val="20"/>
              </w:rPr>
              <w:t>REVENUES</w:t>
            </w:r>
          </w:p>
        </w:tc>
        <w:tc>
          <w:tcPr>
            <w:tcW w:w="134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c>
          <w:tcPr>
            <w:tcW w:w="15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c>
          <w:tcPr>
            <w:tcW w:w="1212"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c>
          <w:tcPr>
            <w:tcW w:w="115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871"/>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c>
          <w:tcPr>
            <w:tcW w:w="1347" w:type="dxa"/>
            <w:tcBorders>
              <w:top w:val="nil"/>
              <w:left w:val="nil"/>
              <w:bottom w:val="single" w:sz="8" w:space="0" w:color="auto"/>
              <w:right w:val="single" w:sz="8" w:space="0" w:color="auto"/>
            </w:tcBorders>
            <w:shd w:val="clear" w:color="auto" w:fill="auto"/>
            <w:vAlign w:val="bottom"/>
            <w:hideMark/>
          </w:tcPr>
          <w:p w:rsidR="00073CB5" w:rsidRPr="00711D0C" w:rsidRDefault="00073CB5" w:rsidP="00E34E1A">
            <w:pPr>
              <w:jc w:val="center"/>
              <w:rPr>
                <w:rFonts w:ascii="Arial" w:hAnsi="Arial" w:cs="Arial"/>
                <w:b/>
                <w:bCs/>
                <w:color w:val="000000"/>
                <w:sz w:val="20"/>
              </w:rPr>
            </w:pPr>
            <w:r w:rsidRPr="00711D0C">
              <w:rPr>
                <w:rFonts w:ascii="Arial" w:hAnsi="Arial" w:cs="Arial"/>
                <w:b/>
                <w:bCs/>
                <w:color w:val="000000"/>
                <w:sz w:val="20"/>
              </w:rPr>
              <w:t xml:space="preserve"> Approved      2013-2014 Budget </w:t>
            </w:r>
          </w:p>
        </w:tc>
        <w:tc>
          <w:tcPr>
            <w:tcW w:w="1597" w:type="dxa"/>
            <w:tcBorders>
              <w:top w:val="nil"/>
              <w:left w:val="nil"/>
              <w:bottom w:val="single" w:sz="8" w:space="0" w:color="auto"/>
              <w:right w:val="single" w:sz="8" w:space="0" w:color="auto"/>
            </w:tcBorders>
            <w:shd w:val="clear" w:color="auto" w:fill="auto"/>
            <w:vAlign w:val="bottom"/>
            <w:hideMark/>
          </w:tcPr>
          <w:p w:rsidR="00073CB5" w:rsidRPr="00711D0C" w:rsidRDefault="00073CB5" w:rsidP="00E34E1A">
            <w:pPr>
              <w:jc w:val="center"/>
              <w:rPr>
                <w:rFonts w:ascii="Arial" w:hAnsi="Arial" w:cs="Arial"/>
                <w:b/>
                <w:bCs/>
                <w:color w:val="000000"/>
                <w:sz w:val="20"/>
              </w:rPr>
            </w:pPr>
            <w:r w:rsidRPr="00711D0C">
              <w:rPr>
                <w:rFonts w:ascii="Arial" w:hAnsi="Arial" w:cs="Arial"/>
                <w:b/>
                <w:bCs/>
                <w:color w:val="000000"/>
                <w:sz w:val="20"/>
              </w:rPr>
              <w:t xml:space="preserve"> Recommended 2014-2015 Budget </w:t>
            </w:r>
          </w:p>
        </w:tc>
        <w:tc>
          <w:tcPr>
            <w:tcW w:w="1212" w:type="dxa"/>
            <w:tcBorders>
              <w:top w:val="nil"/>
              <w:left w:val="nil"/>
              <w:bottom w:val="single" w:sz="8" w:space="0" w:color="auto"/>
              <w:right w:val="single" w:sz="8" w:space="0" w:color="auto"/>
            </w:tcBorders>
            <w:shd w:val="clear" w:color="auto" w:fill="auto"/>
            <w:vAlign w:val="bottom"/>
            <w:hideMark/>
          </w:tcPr>
          <w:p w:rsidR="00073CB5" w:rsidRPr="00711D0C" w:rsidRDefault="00073CB5" w:rsidP="00E34E1A">
            <w:pPr>
              <w:jc w:val="center"/>
              <w:rPr>
                <w:rFonts w:ascii="Arial" w:hAnsi="Arial" w:cs="Arial"/>
                <w:b/>
                <w:bCs/>
                <w:color w:val="000000"/>
                <w:sz w:val="20"/>
              </w:rPr>
            </w:pPr>
            <w:r w:rsidRPr="00711D0C">
              <w:rPr>
                <w:rFonts w:ascii="Arial" w:hAnsi="Arial" w:cs="Arial"/>
                <w:b/>
                <w:bCs/>
                <w:color w:val="000000"/>
                <w:sz w:val="20"/>
              </w:rPr>
              <w:t xml:space="preserve"> $ Difference </w:t>
            </w:r>
          </w:p>
        </w:tc>
        <w:tc>
          <w:tcPr>
            <w:tcW w:w="1156" w:type="dxa"/>
            <w:tcBorders>
              <w:top w:val="nil"/>
              <w:left w:val="nil"/>
              <w:bottom w:val="single" w:sz="8" w:space="0" w:color="auto"/>
              <w:right w:val="single" w:sz="8" w:space="0" w:color="auto"/>
            </w:tcBorders>
            <w:shd w:val="clear" w:color="auto" w:fill="auto"/>
            <w:vAlign w:val="bottom"/>
            <w:hideMark/>
          </w:tcPr>
          <w:p w:rsidR="00073CB5" w:rsidRPr="00711D0C" w:rsidRDefault="00073CB5" w:rsidP="00E34E1A">
            <w:pPr>
              <w:jc w:val="center"/>
              <w:rPr>
                <w:rFonts w:ascii="Arial" w:hAnsi="Arial" w:cs="Arial"/>
                <w:b/>
                <w:bCs/>
                <w:color w:val="000000"/>
                <w:sz w:val="20"/>
              </w:rPr>
            </w:pPr>
            <w:r w:rsidRPr="00711D0C">
              <w:rPr>
                <w:rFonts w:ascii="Arial" w:hAnsi="Arial" w:cs="Arial"/>
                <w:b/>
                <w:bCs/>
                <w:color w:val="000000"/>
                <w:sz w:val="20"/>
              </w:rPr>
              <w:t>% Difference</w:t>
            </w:r>
          </w:p>
        </w:tc>
      </w:tr>
      <w:tr w:rsidR="00073CB5" w:rsidRPr="00711D0C" w:rsidTr="00E34E1A">
        <w:tblPrEx>
          <w:tblCellMar>
            <w:left w:w="108" w:type="dxa"/>
            <w:right w:w="108" w:type="dxa"/>
          </w:tblCellMar>
        </w:tblPrEx>
        <w:trPr>
          <w:trHeight w:val="205"/>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GENERAL FUND</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23"/>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Current &amp; Prior Years Ad Valorem</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676,500.00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692,000.00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15,500.00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2.29%</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Current &amp; Prior Years Fire Taxes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275,250.00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275,250.00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0.00%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Local Option Sales Tax</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351,000.00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388,000.00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37,000.00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10.54%</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Interest on Investments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1,250.00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1,225.00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(25.00)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-2.00%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User Fees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122,865.00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118,000.00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(4,865.00)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-3.96%</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State Funds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221,450.00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219,450.00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(2,000.00)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-0.90%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Miscellaneous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40,371.00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37,115.00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(3,256.00)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-8.07%</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Administrative Grant</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125,000.00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125,000.00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Fund Balance</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47,052.00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50,000.00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2,948.00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6.27%</w:t>
            </w:r>
          </w:p>
        </w:tc>
      </w:tr>
      <w:tr w:rsidR="00073CB5" w:rsidRPr="00711D0C" w:rsidTr="00E34E1A">
        <w:tblPrEx>
          <w:tblCellMar>
            <w:left w:w="108" w:type="dxa"/>
            <w:right w:w="108" w:type="dxa"/>
          </w:tblCellMar>
        </w:tblPrEx>
        <w:trPr>
          <w:trHeight w:val="313"/>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GENERAL FUND TOTALS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1,860,738.00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1,906,040.00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45,302.00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2.43%</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27"/>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POWELL BILL FUND</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87,000.00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63,500.00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(23,500.00)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-27.01%</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WATER &amp; SEWER FUND</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Water Sales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895,000.00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897,520.00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2,520.00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0.28%</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Sewer Sales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785,000.00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884,000.00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99,000.00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12.61%</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Tap &amp; Connection Fees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10,000.00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7,000.00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(3,000.00)</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-30.00%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Surcharges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1,200.00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0.00%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Interest on Investments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50.00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50.00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0.00%</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Miscellaneous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26,250.00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26,500.00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250.00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0.95%</w:t>
            </w:r>
          </w:p>
        </w:tc>
      </w:tr>
      <w:tr w:rsidR="00073CB5" w:rsidRPr="00711D0C" w:rsidTr="00E34E1A">
        <w:tblPrEx>
          <w:tblCellMar>
            <w:left w:w="108" w:type="dxa"/>
            <w:right w:w="108" w:type="dxa"/>
          </w:tblCellMar>
        </w:tblPrEx>
        <w:trPr>
          <w:trHeight w:val="227"/>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WATER &amp; SEWER FUND TOTALS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1,717,500.00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1,816,270.00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98,770.00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5.75%</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27"/>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STORMWATER FUND</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22,000.00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22,500.00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500.00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2.27%</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color w:val="000000"/>
                <w:sz w:val="18"/>
                <w:szCs w:val="18"/>
              </w:rPr>
            </w:pPr>
            <w:r w:rsidRPr="008831AD">
              <w:rPr>
                <w:rFonts w:ascii="Arial" w:hAnsi="Arial" w:cs="Arial"/>
                <w:color w:val="000000"/>
                <w:sz w:val="18"/>
                <w:szCs w:val="18"/>
              </w:rPr>
              <w:t xml:space="preserve">               -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 </w:t>
            </w:r>
          </w:p>
        </w:tc>
      </w:tr>
      <w:tr w:rsidR="00073CB5" w:rsidRPr="00711D0C" w:rsidTr="00E34E1A">
        <w:tblPrEx>
          <w:tblCellMar>
            <w:left w:w="108" w:type="dxa"/>
            <w:right w:w="108" w:type="dxa"/>
          </w:tblCellMar>
        </w:tblPrEx>
        <w:trPr>
          <w:trHeight w:val="208"/>
        </w:trPr>
        <w:tc>
          <w:tcPr>
            <w:tcW w:w="3233" w:type="dxa"/>
            <w:tcBorders>
              <w:top w:val="nil"/>
              <w:left w:val="single" w:sz="8" w:space="0" w:color="auto"/>
              <w:bottom w:val="single" w:sz="8" w:space="0" w:color="auto"/>
              <w:right w:val="single" w:sz="8" w:space="0" w:color="auto"/>
            </w:tcBorders>
            <w:shd w:val="clear" w:color="000000" w:fill="000000"/>
            <w:noWrap/>
            <w:vAlign w:val="bottom"/>
            <w:hideMark/>
          </w:tcPr>
          <w:p w:rsidR="00073CB5" w:rsidRPr="008831AD" w:rsidRDefault="00073CB5" w:rsidP="00E34E1A">
            <w:pPr>
              <w:rPr>
                <w:rFonts w:ascii="Arial" w:hAnsi="Arial" w:cs="Arial"/>
                <w:b/>
                <w:bCs/>
                <w:color w:val="FFFFFF"/>
                <w:sz w:val="18"/>
                <w:szCs w:val="18"/>
              </w:rPr>
            </w:pPr>
            <w:r w:rsidRPr="008831AD">
              <w:rPr>
                <w:rFonts w:ascii="Arial" w:hAnsi="Arial" w:cs="Arial"/>
                <w:b/>
                <w:bCs/>
                <w:color w:val="FFFFFF"/>
                <w:sz w:val="18"/>
                <w:szCs w:val="18"/>
              </w:rPr>
              <w:t>TOTAL REVENUES</w:t>
            </w:r>
          </w:p>
        </w:tc>
        <w:tc>
          <w:tcPr>
            <w:tcW w:w="134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3,687,238.00 </w:t>
            </w:r>
          </w:p>
        </w:tc>
        <w:tc>
          <w:tcPr>
            <w:tcW w:w="1597"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3,808,310.00 </w:t>
            </w:r>
          </w:p>
        </w:tc>
        <w:tc>
          <w:tcPr>
            <w:tcW w:w="1212" w:type="dxa"/>
            <w:tcBorders>
              <w:top w:val="nil"/>
              <w:left w:val="nil"/>
              <w:bottom w:val="single" w:sz="8" w:space="0" w:color="auto"/>
              <w:right w:val="single" w:sz="8" w:space="0" w:color="auto"/>
            </w:tcBorders>
            <w:shd w:val="clear" w:color="auto" w:fill="auto"/>
            <w:noWrap/>
            <w:vAlign w:val="bottom"/>
            <w:hideMark/>
          </w:tcPr>
          <w:p w:rsidR="00073CB5" w:rsidRPr="008831AD" w:rsidRDefault="00073CB5" w:rsidP="00E34E1A">
            <w:pPr>
              <w:rPr>
                <w:rFonts w:ascii="Arial" w:hAnsi="Arial" w:cs="Arial"/>
                <w:b/>
                <w:bCs/>
                <w:color w:val="000000"/>
                <w:sz w:val="18"/>
                <w:szCs w:val="18"/>
              </w:rPr>
            </w:pPr>
            <w:r w:rsidRPr="008831AD">
              <w:rPr>
                <w:rFonts w:ascii="Arial" w:hAnsi="Arial" w:cs="Arial"/>
                <w:b/>
                <w:bCs/>
                <w:color w:val="000000"/>
                <w:sz w:val="18"/>
                <w:szCs w:val="18"/>
              </w:rPr>
              <w:t xml:space="preserve">  121,072.00 </w:t>
            </w:r>
          </w:p>
        </w:tc>
        <w:tc>
          <w:tcPr>
            <w:tcW w:w="1156" w:type="dxa"/>
            <w:tcBorders>
              <w:top w:val="nil"/>
              <w:left w:val="nil"/>
              <w:bottom w:val="single" w:sz="8" w:space="0" w:color="auto"/>
              <w:right w:val="single" w:sz="8" w:space="0" w:color="auto"/>
            </w:tcBorders>
            <w:shd w:val="clear" w:color="auto" w:fill="auto"/>
            <w:noWrap/>
            <w:vAlign w:val="bottom"/>
            <w:hideMark/>
          </w:tcPr>
          <w:p w:rsidR="00073CB5" w:rsidRPr="00711D0C" w:rsidRDefault="00073CB5" w:rsidP="00E34E1A">
            <w:pPr>
              <w:jc w:val="right"/>
              <w:rPr>
                <w:rFonts w:ascii="Arial" w:hAnsi="Arial" w:cs="Arial"/>
                <w:color w:val="000000"/>
                <w:sz w:val="20"/>
              </w:rPr>
            </w:pPr>
            <w:r w:rsidRPr="00711D0C">
              <w:rPr>
                <w:rFonts w:ascii="Arial" w:hAnsi="Arial" w:cs="Arial"/>
                <w:color w:val="000000"/>
                <w:sz w:val="20"/>
              </w:rPr>
              <w:t>3.28%</w:t>
            </w:r>
          </w:p>
        </w:tc>
      </w:tr>
    </w:tbl>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rPr>
          <w:b/>
          <w:smallCaps/>
          <w:sz w:val="28"/>
          <w:szCs w:val="28"/>
        </w:rPr>
      </w:pPr>
    </w:p>
    <w:p w:rsidR="00073CB5" w:rsidRDefault="00073CB5" w:rsidP="00073CB5">
      <w:pPr>
        <w:rPr>
          <w:b/>
          <w:smallCaps/>
          <w:sz w:val="28"/>
          <w:szCs w:val="28"/>
        </w:rPr>
      </w:pPr>
    </w:p>
    <w:p w:rsidR="00073CB5" w:rsidRDefault="00073CB5" w:rsidP="00073CB5">
      <w:pPr>
        <w:rPr>
          <w:b/>
          <w:smallCaps/>
          <w:sz w:val="28"/>
          <w:szCs w:val="28"/>
        </w:rPr>
      </w:pPr>
    </w:p>
    <w:p w:rsidR="00073CB5" w:rsidRDefault="00073CB5" w:rsidP="00073CB5">
      <w:pPr>
        <w:rPr>
          <w:b/>
          <w:smallCaps/>
          <w:sz w:val="28"/>
          <w:szCs w:val="28"/>
        </w:rPr>
      </w:pPr>
    </w:p>
    <w:p w:rsidR="00073CB5" w:rsidRPr="00B52FF7" w:rsidRDefault="00073CB5" w:rsidP="00073CB5">
      <w:pPr>
        <w:rPr>
          <w:b/>
          <w:smallCaps/>
          <w:sz w:val="28"/>
          <w:szCs w:val="28"/>
        </w:rPr>
      </w:pPr>
      <w:r w:rsidRPr="00B52FF7">
        <w:rPr>
          <w:b/>
          <w:smallCaps/>
          <w:sz w:val="28"/>
          <w:szCs w:val="28"/>
        </w:rPr>
        <w:lastRenderedPageBreak/>
        <w:t>Expenditures</w:t>
      </w:r>
    </w:p>
    <w:p w:rsidR="00073CB5" w:rsidRPr="00B52FF7" w:rsidRDefault="00073CB5" w:rsidP="00073CB5">
      <w:pPr>
        <w:rPr>
          <w:b/>
          <w:smallCaps/>
          <w:sz w:val="28"/>
          <w:szCs w:val="28"/>
        </w:rPr>
      </w:pPr>
    </w:p>
    <w:p w:rsidR="00073CB5" w:rsidRPr="00B52FF7" w:rsidRDefault="00073CB5" w:rsidP="00073CB5">
      <w:pPr>
        <w:rPr>
          <w:sz w:val="28"/>
          <w:szCs w:val="28"/>
        </w:rPr>
      </w:pPr>
      <w:r w:rsidRPr="00B52FF7">
        <w:rPr>
          <w:sz w:val="28"/>
          <w:szCs w:val="28"/>
        </w:rPr>
        <w:t xml:space="preserve">This budget holds the line on operational costs and has few capital purchases for equipment or buildings that are needed.  The expenditure budget does </w:t>
      </w:r>
      <w:r w:rsidRPr="00B52FF7">
        <w:rPr>
          <w:b/>
          <w:i/>
          <w:sz w:val="28"/>
          <w:szCs w:val="28"/>
        </w:rPr>
        <w:t>not include a cost of living increase</w:t>
      </w:r>
      <w:r w:rsidRPr="00B52FF7">
        <w:rPr>
          <w:sz w:val="28"/>
          <w:szCs w:val="28"/>
        </w:rPr>
        <w:t xml:space="preserve"> for our employees</w:t>
      </w:r>
      <w:r w:rsidRPr="00B52FF7">
        <w:rPr>
          <w:b/>
          <w:sz w:val="28"/>
          <w:szCs w:val="28"/>
        </w:rPr>
        <w:t xml:space="preserve">.  </w:t>
      </w:r>
    </w:p>
    <w:p w:rsidR="00073CB5" w:rsidRPr="00B52FF7" w:rsidRDefault="00073CB5" w:rsidP="00073CB5">
      <w:pPr>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r w:rsidRPr="00B52FF7">
        <w:rPr>
          <w:sz w:val="28"/>
          <w:szCs w:val="28"/>
        </w:rPr>
        <w:lastRenderedPageBreak/>
        <w:t xml:space="preserve">The following tables outline projected </w:t>
      </w:r>
      <w:r>
        <w:rPr>
          <w:sz w:val="28"/>
          <w:szCs w:val="28"/>
        </w:rPr>
        <w:t>expenditures</w:t>
      </w:r>
      <w:r w:rsidRPr="00B52FF7">
        <w:rPr>
          <w:sz w:val="28"/>
          <w:szCs w:val="28"/>
        </w:rPr>
        <w:t xml:space="preserve"> by fund</w:t>
      </w:r>
      <w:r>
        <w:rPr>
          <w:sz w:val="28"/>
          <w:szCs w:val="28"/>
        </w:rPr>
        <w:t xml:space="preserve"> and department.  A</w:t>
      </w:r>
      <w:r w:rsidRPr="00B52FF7">
        <w:rPr>
          <w:sz w:val="28"/>
          <w:szCs w:val="28"/>
        </w:rPr>
        <w:t>lso show</w:t>
      </w:r>
      <w:r>
        <w:rPr>
          <w:sz w:val="28"/>
          <w:szCs w:val="28"/>
        </w:rPr>
        <w:t>n is</w:t>
      </w:r>
      <w:r w:rsidRPr="00B52FF7">
        <w:rPr>
          <w:sz w:val="28"/>
          <w:szCs w:val="28"/>
        </w:rPr>
        <w:t xml:space="preserve"> a comparison with the previous year’s budget.  </w:t>
      </w:r>
    </w:p>
    <w:p w:rsidR="00073CB5" w:rsidRDefault="00073CB5" w:rsidP="00073CB5">
      <w:pPr>
        <w:pStyle w:val="BodyText"/>
        <w:rPr>
          <w:sz w:val="28"/>
          <w:szCs w:val="28"/>
        </w:rPr>
      </w:pPr>
    </w:p>
    <w:p w:rsidR="00073CB5" w:rsidRPr="007C277A" w:rsidRDefault="00073CB5" w:rsidP="00073CB5">
      <w:pPr>
        <w:pStyle w:val="BodyText"/>
        <w:rPr>
          <w:szCs w:val="24"/>
        </w:rPr>
      </w:pPr>
    </w:p>
    <w:tbl>
      <w:tblPr>
        <w:tblW w:w="8800" w:type="dxa"/>
        <w:tblInd w:w="93" w:type="dxa"/>
        <w:tblLook w:val="04A0"/>
      </w:tblPr>
      <w:tblGrid>
        <w:gridCol w:w="3360"/>
        <w:gridCol w:w="1400"/>
        <w:gridCol w:w="1660"/>
        <w:gridCol w:w="1260"/>
        <w:gridCol w:w="1120"/>
      </w:tblGrid>
      <w:tr w:rsidR="00073CB5" w:rsidRPr="00F54083" w:rsidTr="00E34E1A">
        <w:trPr>
          <w:trHeight w:val="276"/>
        </w:trPr>
        <w:tc>
          <w:tcPr>
            <w:tcW w:w="336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073CB5" w:rsidRPr="00F54083" w:rsidRDefault="00073CB5" w:rsidP="00E34E1A">
            <w:pPr>
              <w:rPr>
                <w:rFonts w:ascii="Arial" w:hAnsi="Arial" w:cs="Arial"/>
                <w:b/>
                <w:bCs/>
                <w:color w:val="FFFFFF"/>
                <w:sz w:val="18"/>
                <w:szCs w:val="18"/>
              </w:rPr>
            </w:pPr>
            <w:r w:rsidRPr="00F54083">
              <w:rPr>
                <w:rFonts w:ascii="Arial" w:hAnsi="Arial" w:cs="Arial"/>
                <w:b/>
                <w:bCs/>
                <w:color w:val="FFFFFF"/>
                <w:sz w:val="18"/>
                <w:szCs w:val="18"/>
              </w:rPr>
              <w:t xml:space="preserve">EXPENDITURES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804"/>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vAlign w:val="bottom"/>
            <w:hideMark/>
          </w:tcPr>
          <w:p w:rsidR="00073CB5" w:rsidRPr="00F54083" w:rsidRDefault="00073CB5" w:rsidP="00E34E1A">
            <w:pPr>
              <w:jc w:val="center"/>
              <w:rPr>
                <w:rFonts w:ascii="Arial" w:hAnsi="Arial" w:cs="Arial"/>
                <w:b/>
                <w:bCs/>
                <w:color w:val="000000"/>
                <w:sz w:val="18"/>
                <w:szCs w:val="18"/>
              </w:rPr>
            </w:pPr>
            <w:r w:rsidRPr="00F54083">
              <w:rPr>
                <w:rFonts w:ascii="Arial" w:hAnsi="Arial" w:cs="Arial"/>
                <w:b/>
                <w:bCs/>
                <w:color w:val="000000"/>
                <w:sz w:val="18"/>
                <w:szCs w:val="18"/>
              </w:rPr>
              <w:t xml:space="preserve"> Approved      2013-2014 Budget </w:t>
            </w:r>
          </w:p>
        </w:tc>
        <w:tc>
          <w:tcPr>
            <w:tcW w:w="1660" w:type="dxa"/>
            <w:tcBorders>
              <w:top w:val="nil"/>
              <w:left w:val="nil"/>
              <w:bottom w:val="single" w:sz="8" w:space="0" w:color="auto"/>
              <w:right w:val="single" w:sz="8" w:space="0" w:color="auto"/>
            </w:tcBorders>
            <w:shd w:val="clear" w:color="auto" w:fill="auto"/>
            <w:vAlign w:val="bottom"/>
            <w:hideMark/>
          </w:tcPr>
          <w:p w:rsidR="00073CB5" w:rsidRPr="00F54083" w:rsidRDefault="00073CB5" w:rsidP="00E34E1A">
            <w:pPr>
              <w:jc w:val="center"/>
              <w:rPr>
                <w:rFonts w:ascii="Arial" w:hAnsi="Arial" w:cs="Arial"/>
                <w:b/>
                <w:bCs/>
                <w:color w:val="000000"/>
                <w:sz w:val="18"/>
                <w:szCs w:val="18"/>
              </w:rPr>
            </w:pPr>
            <w:r w:rsidRPr="00F54083">
              <w:rPr>
                <w:rFonts w:ascii="Arial" w:hAnsi="Arial" w:cs="Arial"/>
                <w:b/>
                <w:bCs/>
                <w:color w:val="000000"/>
                <w:sz w:val="18"/>
                <w:szCs w:val="18"/>
              </w:rPr>
              <w:t xml:space="preserve"> Recommended 2014-2015 Budget </w:t>
            </w:r>
          </w:p>
        </w:tc>
        <w:tc>
          <w:tcPr>
            <w:tcW w:w="1260" w:type="dxa"/>
            <w:tcBorders>
              <w:top w:val="nil"/>
              <w:left w:val="nil"/>
              <w:bottom w:val="single" w:sz="8" w:space="0" w:color="auto"/>
              <w:right w:val="single" w:sz="8" w:space="0" w:color="auto"/>
            </w:tcBorders>
            <w:shd w:val="clear" w:color="auto" w:fill="auto"/>
            <w:vAlign w:val="bottom"/>
            <w:hideMark/>
          </w:tcPr>
          <w:p w:rsidR="00073CB5" w:rsidRPr="00F54083" w:rsidRDefault="00073CB5" w:rsidP="00E34E1A">
            <w:pPr>
              <w:jc w:val="center"/>
              <w:rPr>
                <w:rFonts w:ascii="Arial" w:hAnsi="Arial" w:cs="Arial"/>
                <w:b/>
                <w:bCs/>
                <w:color w:val="000000"/>
                <w:sz w:val="18"/>
                <w:szCs w:val="18"/>
              </w:rPr>
            </w:pPr>
            <w:r w:rsidRPr="00F54083">
              <w:rPr>
                <w:rFonts w:ascii="Arial" w:hAnsi="Arial" w:cs="Arial"/>
                <w:b/>
                <w:bCs/>
                <w:color w:val="000000"/>
                <w:sz w:val="18"/>
                <w:szCs w:val="18"/>
              </w:rPr>
              <w:t>$ Difference</w:t>
            </w:r>
          </w:p>
        </w:tc>
        <w:tc>
          <w:tcPr>
            <w:tcW w:w="1120" w:type="dxa"/>
            <w:tcBorders>
              <w:top w:val="nil"/>
              <w:left w:val="nil"/>
              <w:bottom w:val="single" w:sz="8" w:space="0" w:color="auto"/>
              <w:right w:val="single" w:sz="8" w:space="0" w:color="auto"/>
            </w:tcBorders>
            <w:shd w:val="clear" w:color="auto" w:fill="auto"/>
            <w:vAlign w:val="bottom"/>
            <w:hideMark/>
          </w:tcPr>
          <w:p w:rsidR="00073CB5" w:rsidRPr="00F54083" w:rsidRDefault="00073CB5" w:rsidP="00E34E1A">
            <w:pPr>
              <w:jc w:val="center"/>
              <w:rPr>
                <w:rFonts w:ascii="Arial" w:hAnsi="Arial" w:cs="Arial"/>
                <w:b/>
                <w:bCs/>
                <w:color w:val="000000"/>
                <w:sz w:val="18"/>
                <w:szCs w:val="18"/>
              </w:rPr>
            </w:pPr>
            <w:r w:rsidRPr="00F54083">
              <w:rPr>
                <w:rFonts w:ascii="Arial" w:hAnsi="Arial" w:cs="Arial"/>
                <w:b/>
                <w:bCs/>
                <w:color w:val="000000"/>
                <w:sz w:val="18"/>
                <w:szCs w:val="18"/>
              </w:rPr>
              <w:t>% Difference</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GENERAL FUND</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Governing Body</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15,750.00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15,450.00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(300.00)</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-1.90%</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Administration</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181,849.00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193,368.00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11,519.00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6.33%</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Public Buildings</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39,500.00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39,500.00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0.00%</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Police Department</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586,533.00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613,568.00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27,035.00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4.61%</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Fire Department</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327,393.00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337,229.00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9,836.00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3.00%</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Streets and Highways (PW)</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271,353.00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280,682.00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9,329.00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3.44%</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Sanitation</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102,700.00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105,500.00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2,800.00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2.73%</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Parks &amp; Recreation</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159,457.00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163,474.00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4,017.00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2.52%</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Non-Departmental</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176,203.00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157,269.00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(18,934.00)</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-10.75%</w:t>
            </w:r>
          </w:p>
        </w:tc>
      </w:tr>
      <w:tr w:rsidR="00073CB5" w:rsidRPr="00F54083" w:rsidTr="00E34E1A">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GENERAL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1,860,738.00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1,906,040.00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45,302.00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2.43%</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POWELL BILL FUND</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87,000.00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63,500.00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(23,500.00)</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-27.01%</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WATER &amp; SEWER FUND</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Administration</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197,435.00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187,913.00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(9,522.00)</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-4.82%</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Water Department</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742,234.00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731,279.00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(10,955.00)</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-1.48%</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Sewer Department</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777,831.00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897,078.00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xml:space="preserve">  119,247.00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15.33%</w:t>
            </w:r>
          </w:p>
        </w:tc>
      </w:tr>
      <w:tr w:rsidR="00073CB5" w:rsidRPr="00F54083" w:rsidTr="00E34E1A">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WATER &amp; SEWER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1,717,500.00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1,816,270.00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98,770.00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5.75%</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STORMWATER FUND</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22,000.00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22,500.00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500.00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2.27%</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color w:val="000000"/>
                <w:sz w:val="18"/>
                <w:szCs w:val="18"/>
              </w:rPr>
            </w:pPr>
            <w:r w:rsidRPr="00F54083">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 </w:t>
            </w:r>
          </w:p>
        </w:tc>
      </w:tr>
      <w:tr w:rsidR="00073CB5" w:rsidRPr="00F54083" w:rsidTr="00E34E1A">
        <w:trPr>
          <w:trHeight w:val="276"/>
        </w:trPr>
        <w:tc>
          <w:tcPr>
            <w:tcW w:w="3360" w:type="dxa"/>
            <w:tcBorders>
              <w:top w:val="nil"/>
              <w:left w:val="single" w:sz="8" w:space="0" w:color="auto"/>
              <w:bottom w:val="single" w:sz="8" w:space="0" w:color="auto"/>
              <w:right w:val="single" w:sz="8" w:space="0" w:color="auto"/>
            </w:tcBorders>
            <w:shd w:val="clear" w:color="000000" w:fill="000000"/>
            <w:noWrap/>
            <w:vAlign w:val="bottom"/>
            <w:hideMark/>
          </w:tcPr>
          <w:p w:rsidR="00073CB5" w:rsidRPr="00F54083" w:rsidRDefault="00073CB5" w:rsidP="00E34E1A">
            <w:pPr>
              <w:rPr>
                <w:rFonts w:ascii="Arial" w:hAnsi="Arial" w:cs="Arial"/>
                <w:b/>
                <w:bCs/>
                <w:color w:val="FFFFFF"/>
                <w:sz w:val="18"/>
                <w:szCs w:val="18"/>
              </w:rPr>
            </w:pPr>
            <w:r w:rsidRPr="00F54083">
              <w:rPr>
                <w:rFonts w:ascii="Arial" w:hAnsi="Arial" w:cs="Arial"/>
                <w:b/>
                <w:bCs/>
                <w:color w:val="FFFFFF"/>
                <w:sz w:val="18"/>
                <w:szCs w:val="18"/>
              </w:rPr>
              <w:t>TOTAL EXPENDITURES</w:t>
            </w:r>
          </w:p>
        </w:tc>
        <w:tc>
          <w:tcPr>
            <w:tcW w:w="140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3,687,238.00 </w:t>
            </w:r>
          </w:p>
        </w:tc>
        <w:tc>
          <w:tcPr>
            <w:tcW w:w="16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3,808,310.00 </w:t>
            </w:r>
          </w:p>
        </w:tc>
        <w:tc>
          <w:tcPr>
            <w:tcW w:w="126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rPr>
                <w:rFonts w:ascii="Arial" w:hAnsi="Arial" w:cs="Arial"/>
                <w:b/>
                <w:bCs/>
                <w:color w:val="000000"/>
                <w:sz w:val="18"/>
                <w:szCs w:val="18"/>
              </w:rPr>
            </w:pPr>
            <w:r w:rsidRPr="00F54083">
              <w:rPr>
                <w:rFonts w:ascii="Arial" w:hAnsi="Arial" w:cs="Arial"/>
                <w:b/>
                <w:bCs/>
                <w:color w:val="000000"/>
                <w:sz w:val="18"/>
                <w:szCs w:val="18"/>
              </w:rPr>
              <w:t xml:space="preserve">  121,072.00 </w:t>
            </w:r>
          </w:p>
        </w:tc>
        <w:tc>
          <w:tcPr>
            <w:tcW w:w="1120" w:type="dxa"/>
            <w:tcBorders>
              <w:top w:val="nil"/>
              <w:left w:val="nil"/>
              <w:bottom w:val="single" w:sz="8" w:space="0" w:color="auto"/>
              <w:right w:val="single" w:sz="8" w:space="0" w:color="auto"/>
            </w:tcBorders>
            <w:shd w:val="clear" w:color="auto" w:fill="auto"/>
            <w:noWrap/>
            <w:vAlign w:val="bottom"/>
            <w:hideMark/>
          </w:tcPr>
          <w:p w:rsidR="00073CB5" w:rsidRPr="00F54083" w:rsidRDefault="00073CB5" w:rsidP="00E34E1A">
            <w:pPr>
              <w:jc w:val="right"/>
              <w:rPr>
                <w:rFonts w:ascii="Arial" w:hAnsi="Arial" w:cs="Arial"/>
                <w:color w:val="000000"/>
                <w:sz w:val="18"/>
                <w:szCs w:val="18"/>
              </w:rPr>
            </w:pPr>
            <w:r w:rsidRPr="00F54083">
              <w:rPr>
                <w:rFonts w:ascii="Arial" w:hAnsi="Arial" w:cs="Arial"/>
                <w:color w:val="000000"/>
                <w:sz w:val="18"/>
                <w:szCs w:val="18"/>
              </w:rPr>
              <w:t>3.28%</w:t>
            </w:r>
          </w:p>
        </w:tc>
      </w:tr>
    </w:tbl>
    <w:p w:rsidR="00073CB5" w:rsidRPr="007C277A" w:rsidRDefault="00073CB5" w:rsidP="00073CB5">
      <w:pPr>
        <w:pStyle w:val="BodyText"/>
        <w:rPr>
          <w:szCs w:val="24"/>
        </w:rPr>
      </w:pPr>
    </w:p>
    <w:p w:rsidR="00073CB5" w:rsidRPr="007C277A" w:rsidRDefault="00073CB5" w:rsidP="00073CB5">
      <w:pPr>
        <w:pStyle w:val="BodyText"/>
        <w:jc w:val="left"/>
        <w:rPr>
          <w:b/>
          <w:i/>
          <w:szCs w:val="24"/>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Default="00073CB5" w:rsidP="00073CB5">
      <w:pPr>
        <w:pStyle w:val="BodyText"/>
        <w:rPr>
          <w:sz w:val="28"/>
          <w:szCs w:val="28"/>
        </w:rPr>
      </w:pPr>
    </w:p>
    <w:p w:rsidR="00073CB5" w:rsidRPr="00B52FF7" w:rsidRDefault="00073CB5" w:rsidP="00073CB5">
      <w:pPr>
        <w:pStyle w:val="BodyText"/>
        <w:rPr>
          <w:sz w:val="28"/>
          <w:szCs w:val="28"/>
        </w:rPr>
      </w:pPr>
      <w:r w:rsidRPr="00B52FF7">
        <w:rPr>
          <w:sz w:val="28"/>
          <w:szCs w:val="28"/>
        </w:rPr>
        <w:lastRenderedPageBreak/>
        <w:t xml:space="preserve">The recommended budget presents a reasonable plan for meeting the stated objectives. </w:t>
      </w:r>
    </w:p>
    <w:p w:rsidR="00073CB5" w:rsidRPr="00B52FF7" w:rsidRDefault="00073CB5" w:rsidP="00073CB5">
      <w:pPr>
        <w:jc w:val="both"/>
        <w:rPr>
          <w:sz w:val="28"/>
          <w:szCs w:val="28"/>
        </w:rPr>
      </w:pPr>
    </w:p>
    <w:p w:rsidR="00073CB5" w:rsidRPr="00B52FF7" w:rsidRDefault="00073CB5" w:rsidP="00073CB5">
      <w:pPr>
        <w:jc w:val="both"/>
        <w:rPr>
          <w:sz w:val="28"/>
          <w:szCs w:val="28"/>
        </w:rPr>
      </w:pPr>
      <w:r w:rsidRPr="00B52FF7">
        <w:rPr>
          <w:sz w:val="28"/>
          <w:szCs w:val="28"/>
        </w:rPr>
        <w:t xml:space="preserve">The Department Heads and staff have worked hard to develop this recommendation.  It has not been without loss or regrets at times, as some requests had to be cut in order to make room for others.  It is fair to say that we can work within the recommended budget.  I look forward to working with the Town of Haw River Council as you consider my recommendation.   </w:t>
      </w:r>
    </w:p>
    <w:p w:rsidR="00073CB5" w:rsidRPr="00B52FF7" w:rsidRDefault="00073CB5" w:rsidP="00073CB5">
      <w:pPr>
        <w:jc w:val="both"/>
        <w:rPr>
          <w:sz w:val="28"/>
          <w:szCs w:val="28"/>
        </w:rPr>
      </w:pPr>
    </w:p>
    <w:p w:rsidR="0061477A" w:rsidRDefault="0061477A" w:rsidP="00073CB5">
      <w:pPr>
        <w:tabs>
          <w:tab w:val="left" w:pos="1080"/>
        </w:tabs>
        <w:jc w:val="both"/>
        <w:rPr>
          <w:rFonts w:ascii="CG Omega" w:hAnsi="CG Omega"/>
        </w:rPr>
      </w:pPr>
      <w:r>
        <w:rPr>
          <w:rFonts w:ascii="CG Omega" w:hAnsi="CG Omega"/>
        </w:rPr>
        <w:t>Following presentation to Council, Council discussed state legislative issues and pending bills that may impact the Haw River Budget.</w:t>
      </w:r>
    </w:p>
    <w:p w:rsidR="0061477A" w:rsidRDefault="0061477A" w:rsidP="00073CB5">
      <w:pPr>
        <w:tabs>
          <w:tab w:val="left" w:pos="1080"/>
        </w:tabs>
        <w:jc w:val="both"/>
        <w:rPr>
          <w:rFonts w:ascii="CG Omega" w:hAnsi="CG Omega"/>
        </w:rPr>
      </w:pPr>
    </w:p>
    <w:p w:rsidR="0061477A" w:rsidRPr="0061477A" w:rsidRDefault="0061477A" w:rsidP="00073CB5">
      <w:pPr>
        <w:tabs>
          <w:tab w:val="left" w:pos="1080"/>
        </w:tabs>
        <w:jc w:val="both"/>
        <w:rPr>
          <w:rFonts w:ascii="CG Omega" w:hAnsi="CG Omega"/>
        </w:rPr>
      </w:pPr>
      <w:r>
        <w:rPr>
          <w:rFonts w:ascii="CG Omega" w:hAnsi="CG Omega"/>
        </w:rPr>
        <w:t>Manager Earp then reminded the Council and the public of the Public Hearing on the Town’s proposed 2014-2015 Budget on Monday June 2, 2014 at 7:00 pm.</w:t>
      </w:r>
    </w:p>
    <w:p w:rsidR="00073CB5" w:rsidRPr="00B52FF7" w:rsidRDefault="00073CB5" w:rsidP="00073CB5">
      <w:pPr>
        <w:tabs>
          <w:tab w:val="left" w:pos="1080"/>
        </w:tabs>
        <w:jc w:val="both"/>
        <w:rPr>
          <w:sz w:val="28"/>
          <w:szCs w:val="28"/>
        </w:rPr>
      </w:pPr>
      <w:r w:rsidRPr="00B52FF7">
        <w:rPr>
          <w:sz w:val="28"/>
          <w:szCs w:val="28"/>
        </w:rPr>
        <w:tab/>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C517C3">
        <w:rPr>
          <w:rFonts w:ascii="CG Omega" w:hAnsi="CG Omega"/>
        </w:rPr>
        <w:t>Fogleman</w:t>
      </w:r>
      <w:r w:rsidR="00F43F57">
        <w:rPr>
          <w:rFonts w:ascii="CG Omega" w:hAnsi="CG Omega"/>
        </w:rPr>
        <w:t xml:space="preserve"> made a motion to adjourn. Motion carried </w:t>
      </w:r>
      <w:r w:rsidR="00C517C3">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19E"/>
    <w:multiLevelType w:val="singleLevel"/>
    <w:tmpl w:val="2604D25E"/>
    <w:lvl w:ilvl="0">
      <w:start w:val="1"/>
      <w:numFmt w:val="decimal"/>
      <w:lvlText w:val="%1)"/>
      <w:lvlJc w:val="left"/>
      <w:pPr>
        <w:tabs>
          <w:tab w:val="num" w:pos="360"/>
        </w:tabs>
        <w:ind w:left="360" w:hanging="360"/>
      </w:pPr>
      <w:rPr>
        <w:rFonts w:ascii="Times New Roman" w:hAnsi="Times New Roman" w:cs="Times New Roman" w:hint="default"/>
        <w:b/>
        <w:i w:val="0"/>
        <w:sz w:val="24"/>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96948"/>
    <w:multiLevelType w:val="hybridMultilevel"/>
    <w:tmpl w:val="55A2B806"/>
    <w:lvl w:ilvl="0" w:tplc="78C82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27"/>
  </w:num>
  <w:num w:numId="5">
    <w:abstractNumId w:val="22"/>
  </w:num>
  <w:num w:numId="6">
    <w:abstractNumId w:val="25"/>
  </w:num>
  <w:num w:numId="7">
    <w:abstractNumId w:val="9"/>
  </w:num>
  <w:num w:numId="8">
    <w:abstractNumId w:val="8"/>
  </w:num>
  <w:num w:numId="9">
    <w:abstractNumId w:val="20"/>
  </w:num>
  <w:num w:numId="10">
    <w:abstractNumId w:val="10"/>
  </w:num>
  <w:num w:numId="11">
    <w:abstractNumId w:val="26"/>
  </w:num>
  <w:num w:numId="12">
    <w:abstractNumId w:val="4"/>
  </w:num>
  <w:num w:numId="13">
    <w:abstractNumId w:val="18"/>
  </w:num>
  <w:num w:numId="14">
    <w:abstractNumId w:val="5"/>
  </w:num>
  <w:num w:numId="15">
    <w:abstractNumId w:val="16"/>
  </w:num>
  <w:num w:numId="16">
    <w:abstractNumId w:val="3"/>
  </w:num>
  <w:num w:numId="17">
    <w:abstractNumId w:val="1"/>
  </w:num>
  <w:num w:numId="18">
    <w:abstractNumId w:val="15"/>
  </w:num>
  <w:num w:numId="19">
    <w:abstractNumId w:val="23"/>
  </w:num>
  <w:num w:numId="20">
    <w:abstractNumId w:val="7"/>
  </w:num>
  <w:num w:numId="21">
    <w:abstractNumId w:val="6"/>
  </w:num>
  <w:num w:numId="22">
    <w:abstractNumId w:val="17"/>
  </w:num>
  <w:num w:numId="23">
    <w:abstractNumId w:val="19"/>
  </w:num>
  <w:num w:numId="24">
    <w:abstractNumId w:val="24"/>
  </w:num>
  <w:num w:numId="25">
    <w:abstractNumId w:val="12"/>
  </w:num>
  <w:num w:numId="26">
    <w:abstractNumId w:val="28"/>
  </w:num>
  <w:num w:numId="27">
    <w:abstractNumId w:val="13"/>
  </w:num>
  <w:num w:numId="28">
    <w:abstractNumId w:val="21"/>
  </w:num>
  <w:num w:numId="2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10504"/>
    <w:rsid w:val="000160A8"/>
    <w:rsid w:val="0001790A"/>
    <w:rsid w:val="000224A9"/>
    <w:rsid w:val="00025F6F"/>
    <w:rsid w:val="00030AA2"/>
    <w:rsid w:val="00053301"/>
    <w:rsid w:val="0005670B"/>
    <w:rsid w:val="0006048B"/>
    <w:rsid w:val="00073CB5"/>
    <w:rsid w:val="00077054"/>
    <w:rsid w:val="00077518"/>
    <w:rsid w:val="00087199"/>
    <w:rsid w:val="00087AAB"/>
    <w:rsid w:val="000925F4"/>
    <w:rsid w:val="00093AEB"/>
    <w:rsid w:val="00096BD6"/>
    <w:rsid w:val="000A674F"/>
    <w:rsid w:val="000B1855"/>
    <w:rsid w:val="000B51F0"/>
    <w:rsid w:val="000B5C0D"/>
    <w:rsid w:val="000C0D10"/>
    <w:rsid w:val="000C2A9C"/>
    <w:rsid w:val="000D5A1F"/>
    <w:rsid w:val="000E1339"/>
    <w:rsid w:val="000E30A2"/>
    <w:rsid w:val="000F5DDF"/>
    <w:rsid w:val="001062C4"/>
    <w:rsid w:val="00111451"/>
    <w:rsid w:val="00112707"/>
    <w:rsid w:val="001131C0"/>
    <w:rsid w:val="00123E3C"/>
    <w:rsid w:val="00130CA9"/>
    <w:rsid w:val="00133726"/>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0A21"/>
    <w:rsid w:val="002A5CCD"/>
    <w:rsid w:val="002A7C78"/>
    <w:rsid w:val="002B4A5A"/>
    <w:rsid w:val="002D3113"/>
    <w:rsid w:val="002E2D4E"/>
    <w:rsid w:val="002E6143"/>
    <w:rsid w:val="00306657"/>
    <w:rsid w:val="00315525"/>
    <w:rsid w:val="00317EC6"/>
    <w:rsid w:val="00321D0D"/>
    <w:rsid w:val="00324099"/>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5486"/>
    <w:rsid w:val="004B612A"/>
    <w:rsid w:val="004B7585"/>
    <w:rsid w:val="004C6D46"/>
    <w:rsid w:val="004D0F54"/>
    <w:rsid w:val="004D50E6"/>
    <w:rsid w:val="004D6A58"/>
    <w:rsid w:val="004E2AD1"/>
    <w:rsid w:val="004E3714"/>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DE9"/>
    <w:rsid w:val="00580B50"/>
    <w:rsid w:val="00587497"/>
    <w:rsid w:val="0059290E"/>
    <w:rsid w:val="00597939"/>
    <w:rsid w:val="00597AAA"/>
    <w:rsid w:val="005A6049"/>
    <w:rsid w:val="005A733C"/>
    <w:rsid w:val="005B3930"/>
    <w:rsid w:val="005C6886"/>
    <w:rsid w:val="005D2BD9"/>
    <w:rsid w:val="005F365D"/>
    <w:rsid w:val="00601B13"/>
    <w:rsid w:val="00601F3F"/>
    <w:rsid w:val="00612D78"/>
    <w:rsid w:val="0061477A"/>
    <w:rsid w:val="00615A0B"/>
    <w:rsid w:val="00617344"/>
    <w:rsid w:val="00620DB0"/>
    <w:rsid w:val="00623A12"/>
    <w:rsid w:val="006245D2"/>
    <w:rsid w:val="006248A8"/>
    <w:rsid w:val="00626114"/>
    <w:rsid w:val="00633449"/>
    <w:rsid w:val="0063704A"/>
    <w:rsid w:val="006437EA"/>
    <w:rsid w:val="00653501"/>
    <w:rsid w:val="00655761"/>
    <w:rsid w:val="006579FC"/>
    <w:rsid w:val="00664F8A"/>
    <w:rsid w:val="006835A6"/>
    <w:rsid w:val="00686985"/>
    <w:rsid w:val="0069017F"/>
    <w:rsid w:val="00691F4D"/>
    <w:rsid w:val="00694F06"/>
    <w:rsid w:val="006A12E7"/>
    <w:rsid w:val="006A56E4"/>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4208A"/>
    <w:rsid w:val="00842E71"/>
    <w:rsid w:val="0084529F"/>
    <w:rsid w:val="00847DDA"/>
    <w:rsid w:val="00850436"/>
    <w:rsid w:val="00851B18"/>
    <w:rsid w:val="00852B27"/>
    <w:rsid w:val="00853AEC"/>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171F"/>
    <w:rsid w:val="00B92C56"/>
    <w:rsid w:val="00B93BBA"/>
    <w:rsid w:val="00B940B6"/>
    <w:rsid w:val="00BA43A5"/>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17C3"/>
    <w:rsid w:val="00C57C52"/>
    <w:rsid w:val="00C61284"/>
    <w:rsid w:val="00C64C2D"/>
    <w:rsid w:val="00C64EF9"/>
    <w:rsid w:val="00C65803"/>
    <w:rsid w:val="00C65D7A"/>
    <w:rsid w:val="00C70950"/>
    <w:rsid w:val="00C7441F"/>
    <w:rsid w:val="00C93DF2"/>
    <w:rsid w:val="00C94FC7"/>
    <w:rsid w:val="00C96505"/>
    <w:rsid w:val="00CB3357"/>
    <w:rsid w:val="00CC6A26"/>
    <w:rsid w:val="00CC798E"/>
    <w:rsid w:val="00CD0B06"/>
    <w:rsid w:val="00CD108F"/>
    <w:rsid w:val="00CD7207"/>
    <w:rsid w:val="00CE3D07"/>
    <w:rsid w:val="00D0054E"/>
    <w:rsid w:val="00D03602"/>
    <w:rsid w:val="00D1457A"/>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1E0B"/>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7B6B5-4E0B-47D4-A193-78DBE204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7</cp:revision>
  <cp:lastPrinted>2014-03-27T17:26:00Z</cp:lastPrinted>
  <dcterms:created xsi:type="dcterms:W3CDTF">2014-06-25T17:14:00Z</dcterms:created>
  <dcterms:modified xsi:type="dcterms:W3CDTF">2014-06-27T12:28:00Z</dcterms:modified>
</cp:coreProperties>
</file>